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266"/>
      </w:tblGrid>
      <w:tr w:rsidR="0028780E" w:rsidRPr="00E2183D" w14:paraId="1FFB04C5" w14:textId="77777777" w:rsidTr="00DB219B">
        <w:trPr>
          <w:trHeight w:val="283"/>
        </w:trPr>
        <w:tc>
          <w:tcPr>
            <w:tcW w:w="1650" w:type="dxa"/>
            <w:shd w:val="clear" w:color="auto" w:fill="D9D9D9" w:themeFill="background1" w:themeFillShade="D9"/>
          </w:tcPr>
          <w:p w14:paraId="158B18A9"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Nazwa komponentu</w:t>
            </w:r>
          </w:p>
        </w:tc>
        <w:tc>
          <w:tcPr>
            <w:tcW w:w="9266" w:type="dxa"/>
            <w:shd w:val="clear" w:color="auto" w:fill="D9D9D9" w:themeFill="background1" w:themeFillShade="D9"/>
          </w:tcPr>
          <w:p w14:paraId="143DBFFD" w14:textId="77777777" w:rsidR="0028780E" w:rsidRPr="00E2183D" w:rsidRDefault="0028780E" w:rsidP="00DB219B">
            <w:pPr>
              <w:spacing w:after="0" w:line="240" w:lineRule="auto"/>
              <w:jc w:val="both"/>
              <w:rPr>
                <w:rFonts w:asciiTheme="minorHAnsi" w:hAnsiTheme="minorHAnsi" w:cstheme="minorHAnsi"/>
                <w:b/>
                <w:sz w:val="20"/>
                <w:szCs w:val="20"/>
              </w:rPr>
            </w:pPr>
            <w:r w:rsidRPr="00E2183D">
              <w:rPr>
                <w:rFonts w:asciiTheme="minorHAnsi" w:hAnsiTheme="minorHAnsi" w:cstheme="minorHAnsi"/>
                <w:b/>
                <w:sz w:val="20"/>
                <w:szCs w:val="20"/>
              </w:rPr>
              <w:t>Wymagane parametry techniczne komputerów</w:t>
            </w:r>
          </w:p>
        </w:tc>
      </w:tr>
      <w:tr w:rsidR="0028780E" w:rsidRPr="00E2183D" w14:paraId="04EAE970" w14:textId="77777777" w:rsidTr="00DB219B">
        <w:tc>
          <w:tcPr>
            <w:tcW w:w="1650" w:type="dxa"/>
            <w:shd w:val="clear" w:color="auto" w:fill="auto"/>
          </w:tcPr>
          <w:p w14:paraId="7BF2D011"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Typ</w:t>
            </w:r>
          </w:p>
        </w:tc>
        <w:tc>
          <w:tcPr>
            <w:tcW w:w="9266" w:type="dxa"/>
            <w:shd w:val="clear" w:color="auto" w:fill="auto"/>
          </w:tcPr>
          <w:p w14:paraId="2D252436"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Komputer stacjonarny. W ofercie wymagane jest podanie modelu, symbolu oraz producenta.</w:t>
            </w:r>
          </w:p>
        </w:tc>
      </w:tr>
      <w:tr w:rsidR="0028780E" w:rsidRPr="00E2183D" w14:paraId="34F9930D" w14:textId="77777777" w:rsidTr="00DB219B">
        <w:tc>
          <w:tcPr>
            <w:tcW w:w="1650" w:type="dxa"/>
            <w:shd w:val="clear" w:color="auto" w:fill="auto"/>
          </w:tcPr>
          <w:p w14:paraId="430A1B8B"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Zastosowanie</w:t>
            </w:r>
          </w:p>
        </w:tc>
        <w:tc>
          <w:tcPr>
            <w:tcW w:w="9266" w:type="dxa"/>
            <w:shd w:val="clear" w:color="auto" w:fill="auto"/>
          </w:tcPr>
          <w:p w14:paraId="75CF83A0"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28780E" w:rsidRPr="00E2183D" w14:paraId="393ABAB0" w14:textId="77777777" w:rsidTr="00DB219B">
        <w:tc>
          <w:tcPr>
            <w:tcW w:w="1650" w:type="dxa"/>
            <w:shd w:val="clear" w:color="auto" w:fill="auto"/>
          </w:tcPr>
          <w:p w14:paraId="658B325C"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Procesor</w:t>
            </w:r>
          </w:p>
        </w:tc>
        <w:tc>
          <w:tcPr>
            <w:tcW w:w="9266" w:type="dxa"/>
            <w:shd w:val="clear" w:color="auto" w:fill="auto"/>
          </w:tcPr>
          <w:p w14:paraId="2817EF0E"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color w:val="000000"/>
                <w:sz w:val="20"/>
                <w:szCs w:val="20"/>
              </w:rPr>
              <w:t xml:space="preserve">Procesor dedykowany do pracy w komputerach stacjonarnych. Procesor osiągający w teście </w:t>
            </w:r>
            <w:proofErr w:type="spellStart"/>
            <w:r w:rsidRPr="00E2183D">
              <w:rPr>
                <w:rFonts w:asciiTheme="minorHAnsi" w:hAnsiTheme="minorHAnsi" w:cstheme="minorHAnsi"/>
                <w:bCs/>
                <w:color w:val="000000"/>
                <w:sz w:val="20"/>
                <w:szCs w:val="20"/>
              </w:rPr>
              <w:t>Passmark</w:t>
            </w:r>
            <w:proofErr w:type="spellEnd"/>
            <w:r w:rsidRPr="00E2183D">
              <w:rPr>
                <w:rFonts w:asciiTheme="minorHAnsi" w:hAnsiTheme="minorHAnsi" w:cstheme="minorHAnsi"/>
                <w:bCs/>
                <w:color w:val="000000"/>
                <w:sz w:val="20"/>
                <w:szCs w:val="20"/>
              </w:rPr>
              <w:t xml:space="preserve"> CPU Mark, w kategorii </w:t>
            </w:r>
            <w:proofErr w:type="spellStart"/>
            <w:r w:rsidRPr="00E2183D">
              <w:rPr>
                <w:rFonts w:asciiTheme="minorHAnsi" w:hAnsiTheme="minorHAnsi" w:cstheme="minorHAnsi"/>
                <w:bCs/>
                <w:color w:val="000000"/>
                <w:sz w:val="20"/>
                <w:szCs w:val="20"/>
              </w:rPr>
              <w:t>Average</w:t>
            </w:r>
            <w:proofErr w:type="spellEnd"/>
            <w:r w:rsidRPr="00E2183D">
              <w:rPr>
                <w:rFonts w:asciiTheme="minorHAnsi" w:hAnsiTheme="minorHAnsi" w:cstheme="minorHAnsi"/>
                <w:bCs/>
                <w:color w:val="000000"/>
                <w:sz w:val="20"/>
                <w:szCs w:val="20"/>
              </w:rPr>
              <w:t xml:space="preserve"> CPU Mark wynik co najmniej </w:t>
            </w:r>
            <w:r>
              <w:rPr>
                <w:rFonts w:asciiTheme="minorHAnsi" w:hAnsiTheme="minorHAnsi" w:cstheme="minorHAnsi"/>
                <w:bCs/>
                <w:color w:val="000000"/>
                <w:sz w:val="20"/>
                <w:szCs w:val="20"/>
              </w:rPr>
              <w:t>32 300</w:t>
            </w:r>
            <w:r w:rsidRPr="00E2183D">
              <w:rPr>
                <w:rFonts w:asciiTheme="minorHAnsi" w:hAnsiTheme="minorHAnsi" w:cstheme="minorHAnsi"/>
                <w:bCs/>
                <w:color w:val="000000"/>
                <w:sz w:val="20"/>
                <w:szCs w:val="20"/>
              </w:rPr>
              <w:t xml:space="preserve"> pkt. według wyników opublikowanych na stronie </w:t>
            </w:r>
            <w:hyperlink r:id="rId5" w:history="1">
              <w:r w:rsidRPr="00E2183D">
                <w:rPr>
                  <w:rStyle w:val="Hipercze"/>
                  <w:rFonts w:asciiTheme="minorHAnsi" w:hAnsiTheme="minorHAnsi" w:cstheme="minorHAnsi"/>
                  <w:sz w:val="20"/>
                  <w:szCs w:val="20"/>
                </w:rPr>
                <w:t>http://www.cpubenchmark.net/cpu_list.php</w:t>
              </w:r>
            </w:hyperlink>
            <w:r w:rsidRPr="00E2183D">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 xml:space="preserve"> na dzień 14.11.2023 </w:t>
            </w:r>
          </w:p>
        </w:tc>
      </w:tr>
      <w:tr w:rsidR="0028780E" w:rsidRPr="00E2183D" w14:paraId="2E9442D1" w14:textId="77777777" w:rsidTr="00DB219B">
        <w:tc>
          <w:tcPr>
            <w:tcW w:w="1650" w:type="dxa"/>
            <w:shd w:val="clear" w:color="auto" w:fill="auto"/>
          </w:tcPr>
          <w:p w14:paraId="1D18BA2C"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Pamięć RAM</w:t>
            </w:r>
          </w:p>
        </w:tc>
        <w:tc>
          <w:tcPr>
            <w:tcW w:w="9266" w:type="dxa"/>
            <w:shd w:val="clear" w:color="auto" w:fill="auto"/>
          </w:tcPr>
          <w:p w14:paraId="58AAE15B" w14:textId="77777777" w:rsidR="0028780E" w:rsidRPr="00E2183D" w:rsidRDefault="0028780E" w:rsidP="00DB219B">
            <w:pPr>
              <w:spacing w:after="0" w:line="240" w:lineRule="auto"/>
              <w:jc w:val="both"/>
              <w:rPr>
                <w:rFonts w:asciiTheme="minorHAnsi" w:hAnsiTheme="minorHAnsi" w:cstheme="minorHAnsi"/>
                <w:bCs/>
                <w:sz w:val="20"/>
                <w:szCs w:val="20"/>
              </w:rPr>
            </w:pPr>
            <w:r w:rsidRPr="00C547BE">
              <w:rPr>
                <w:rFonts w:asciiTheme="minorHAnsi" w:hAnsiTheme="minorHAnsi" w:cstheme="minorHAnsi"/>
                <w:bCs/>
                <w:sz w:val="20"/>
                <w:szCs w:val="20"/>
              </w:rPr>
              <w:t>16GB</w:t>
            </w:r>
            <w:r w:rsidRPr="00C547BE">
              <w:rPr>
                <w:rFonts w:asciiTheme="minorHAnsi" w:hAnsiTheme="minorHAnsi" w:cstheme="minorHAnsi"/>
                <w:b/>
                <w:sz w:val="20"/>
                <w:szCs w:val="20"/>
              </w:rPr>
              <w:t xml:space="preserve"> </w:t>
            </w:r>
            <w:r w:rsidRPr="00E2183D">
              <w:rPr>
                <w:rFonts w:asciiTheme="minorHAnsi" w:hAnsiTheme="minorHAnsi" w:cstheme="minorHAnsi"/>
                <w:bCs/>
                <w:sz w:val="20"/>
                <w:szCs w:val="20"/>
              </w:rPr>
              <w:t>DDR</w:t>
            </w:r>
            <w:r>
              <w:rPr>
                <w:rFonts w:asciiTheme="minorHAnsi" w:hAnsiTheme="minorHAnsi" w:cstheme="minorHAnsi"/>
                <w:bCs/>
                <w:sz w:val="20"/>
                <w:szCs w:val="20"/>
              </w:rPr>
              <w:t>4 3200MHz</w:t>
            </w:r>
            <w:r w:rsidRPr="00E2183D">
              <w:rPr>
                <w:rFonts w:asciiTheme="minorHAnsi" w:hAnsiTheme="minorHAnsi" w:cstheme="minorHAnsi"/>
                <w:bCs/>
                <w:sz w:val="20"/>
                <w:szCs w:val="20"/>
              </w:rPr>
              <w:t xml:space="preserve">. Możliwość rozbudowy do min </w:t>
            </w:r>
            <w:r>
              <w:rPr>
                <w:rFonts w:asciiTheme="minorHAnsi" w:hAnsiTheme="minorHAnsi" w:cstheme="minorHAnsi"/>
                <w:bCs/>
                <w:sz w:val="20"/>
                <w:szCs w:val="20"/>
              </w:rPr>
              <w:t>64</w:t>
            </w:r>
            <w:r w:rsidRPr="00E2183D">
              <w:rPr>
                <w:rFonts w:asciiTheme="minorHAnsi" w:hAnsiTheme="minorHAnsi" w:cstheme="minorHAnsi"/>
                <w:bCs/>
                <w:sz w:val="20"/>
                <w:szCs w:val="20"/>
              </w:rPr>
              <w:t xml:space="preserve">GB. </w:t>
            </w:r>
            <w:r>
              <w:rPr>
                <w:rFonts w:asciiTheme="minorHAnsi" w:hAnsiTheme="minorHAnsi" w:cstheme="minorHAnsi"/>
                <w:bCs/>
                <w:sz w:val="20"/>
                <w:szCs w:val="20"/>
              </w:rPr>
              <w:t xml:space="preserve">Jeden slot </w:t>
            </w:r>
            <w:r w:rsidRPr="00E2183D">
              <w:rPr>
                <w:rFonts w:asciiTheme="minorHAnsi" w:hAnsiTheme="minorHAnsi" w:cstheme="minorHAnsi"/>
                <w:bCs/>
                <w:sz w:val="20"/>
                <w:szCs w:val="20"/>
              </w:rPr>
              <w:t>DIMM woln</w:t>
            </w:r>
            <w:r>
              <w:rPr>
                <w:rFonts w:asciiTheme="minorHAnsi" w:hAnsiTheme="minorHAnsi" w:cstheme="minorHAnsi"/>
                <w:bCs/>
                <w:sz w:val="20"/>
                <w:szCs w:val="20"/>
              </w:rPr>
              <w:t>y</w:t>
            </w:r>
            <w:r w:rsidRPr="00E2183D">
              <w:rPr>
                <w:rFonts w:asciiTheme="minorHAnsi" w:hAnsiTheme="minorHAnsi" w:cstheme="minorHAnsi"/>
                <w:bCs/>
                <w:sz w:val="20"/>
                <w:szCs w:val="20"/>
              </w:rPr>
              <w:t>.</w:t>
            </w:r>
            <w:r>
              <w:rPr>
                <w:rFonts w:asciiTheme="minorHAnsi" w:hAnsiTheme="minorHAnsi" w:cstheme="minorHAnsi"/>
                <w:bCs/>
                <w:sz w:val="20"/>
                <w:szCs w:val="20"/>
              </w:rPr>
              <w:t xml:space="preserve"> </w:t>
            </w:r>
          </w:p>
        </w:tc>
      </w:tr>
      <w:tr w:rsidR="0028780E" w:rsidRPr="00E2183D" w14:paraId="1F273A62" w14:textId="77777777" w:rsidTr="00DB219B">
        <w:tc>
          <w:tcPr>
            <w:tcW w:w="1650" w:type="dxa"/>
            <w:shd w:val="clear" w:color="auto" w:fill="auto"/>
          </w:tcPr>
          <w:p w14:paraId="08D40ED7"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Pamięć masowa</w:t>
            </w:r>
          </w:p>
        </w:tc>
        <w:tc>
          <w:tcPr>
            <w:tcW w:w="9266" w:type="dxa"/>
            <w:shd w:val="clear" w:color="auto" w:fill="auto"/>
          </w:tcPr>
          <w:p w14:paraId="4A4A0973"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Dysk M.2 SSD </w:t>
            </w:r>
            <w:r>
              <w:rPr>
                <w:rFonts w:asciiTheme="minorHAnsi" w:hAnsiTheme="minorHAnsi" w:cstheme="minorHAnsi"/>
                <w:bCs/>
                <w:sz w:val="20"/>
                <w:szCs w:val="20"/>
              </w:rPr>
              <w:t>512</w:t>
            </w:r>
            <w:r w:rsidRPr="00C547BE">
              <w:rPr>
                <w:rFonts w:asciiTheme="minorHAnsi" w:hAnsiTheme="minorHAnsi" w:cstheme="minorHAnsi"/>
                <w:bCs/>
                <w:sz w:val="20"/>
                <w:szCs w:val="20"/>
              </w:rPr>
              <w:t xml:space="preserve">GB </w:t>
            </w:r>
            <w:proofErr w:type="spellStart"/>
            <w:r w:rsidRPr="00E2183D">
              <w:rPr>
                <w:rFonts w:asciiTheme="minorHAnsi" w:hAnsiTheme="minorHAnsi" w:cstheme="minorHAnsi"/>
                <w:bCs/>
                <w:sz w:val="20"/>
                <w:szCs w:val="20"/>
              </w:rPr>
              <w:t>PCIe</w:t>
            </w:r>
            <w:proofErr w:type="spellEnd"/>
            <w:r w:rsidRPr="00E2183D">
              <w:rPr>
                <w:rFonts w:asciiTheme="minorHAnsi" w:hAnsiTheme="minorHAnsi" w:cstheme="minorHAnsi"/>
                <w:bCs/>
                <w:sz w:val="20"/>
                <w:szCs w:val="20"/>
              </w:rPr>
              <w:t xml:space="preserve"> </w:t>
            </w:r>
            <w:proofErr w:type="spellStart"/>
            <w:r w:rsidRPr="00E2183D">
              <w:rPr>
                <w:rFonts w:asciiTheme="minorHAnsi" w:hAnsiTheme="minorHAnsi" w:cstheme="minorHAnsi"/>
                <w:bCs/>
                <w:sz w:val="20"/>
                <w:szCs w:val="20"/>
              </w:rPr>
              <w:t>NVMe</w:t>
            </w:r>
            <w:proofErr w:type="spellEnd"/>
          </w:p>
          <w:p w14:paraId="15595539" w14:textId="77777777" w:rsidR="0028780E" w:rsidRPr="00E2183D" w:rsidRDefault="0028780E" w:rsidP="00DB219B">
            <w:pPr>
              <w:spacing w:after="0" w:line="240" w:lineRule="auto"/>
              <w:jc w:val="both"/>
              <w:rPr>
                <w:rFonts w:asciiTheme="minorHAnsi" w:hAnsiTheme="minorHAnsi" w:cstheme="minorHAnsi"/>
                <w:bCs/>
                <w:sz w:val="20"/>
                <w:szCs w:val="20"/>
              </w:rPr>
            </w:pPr>
            <w:r w:rsidRPr="00C547BE">
              <w:rPr>
                <w:rFonts w:asciiTheme="minorHAnsi" w:hAnsiTheme="minorHAnsi" w:cstheme="minorHAnsi"/>
                <w:bCs/>
                <w:sz w:val="20"/>
                <w:szCs w:val="20"/>
              </w:rPr>
              <w:t xml:space="preserve">Obudowa musi </w:t>
            </w:r>
            <w:proofErr w:type="spellStart"/>
            <w:r w:rsidRPr="00C547BE">
              <w:rPr>
                <w:rFonts w:asciiTheme="minorHAnsi" w:hAnsiTheme="minorHAnsi" w:cstheme="minorHAnsi"/>
                <w:bCs/>
                <w:sz w:val="20"/>
                <w:szCs w:val="20"/>
              </w:rPr>
              <w:t>umożliwać</w:t>
            </w:r>
            <w:proofErr w:type="spellEnd"/>
            <w:r w:rsidRPr="00C547BE">
              <w:rPr>
                <w:rFonts w:asciiTheme="minorHAnsi" w:hAnsiTheme="minorHAnsi" w:cstheme="minorHAnsi"/>
                <w:bCs/>
                <w:sz w:val="20"/>
                <w:szCs w:val="20"/>
              </w:rPr>
              <w:t xml:space="preserve"> montaż dodatkowego dysku 2.5” lub 3.5”.</w:t>
            </w:r>
          </w:p>
        </w:tc>
      </w:tr>
      <w:tr w:rsidR="0028780E" w:rsidRPr="00E2183D" w14:paraId="18421004" w14:textId="77777777" w:rsidTr="00DB219B">
        <w:tc>
          <w:tcPr>
            <w:tcW w:w="1650" w:type="dxa"/>
            <w:shd w:val="clear" w:color="auto" w:fill="auto"/>
          </w:tcPr>
          <w:p w14:paraId="3EF790CD"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Wydajność grafiki</w:t>
            </w:r>
          </w:p>
        </w:tc>
        <w:tc>
          <w:tcPr>
            <w:tcW w:w="9266" w:type="dxa"/>
            <w:shd w:val="clear" w:color="auto" w:fill="auto"/>
          </w:tcPr>
          <w:p w14:paraId="3A7AE216" w14:textId="77777777" w:rsidR="0028780E"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Zintegrowana karta graficzna</w:t>
            </w:r>
          </w:p>
          <w:p w14:paraId="17404920" w14:textId="77777777" w:rsidR="0028780E" w:rsidRPr="00E2183D" w:rsidRDefault="0028780E" w:rsidP="00DB219B">
            <w:pPr>
              <w:spacing w:after="0" w:line="240" w:lineRule="auto"/>
              <w:jc w:val="both"/>
              <w:rPr>
                <w:rFonts w:asciiTheme="minorHAnsi" w:hAnsiTheme="minorHAnsi" w:cstheme="minorHAnsi"/>
                <w:bCs/>
                <w:sz w:val="20"/>
                <w:szCs w:val="20"/>
              </w:rPr>
            </w:pPr>
            <w:r w:rsidRPr="004A1EB8">
              <w:rPr>
                <w:rFonts w:asciiTheme="minorHAnsi" w:hAnsiTheme="minorHAnsi" w:cstheme="minorHAnsi"/>
                <w:bCs/>
                <w:sz w:val="20"/>
                <w:szCs w:val="20"/>
              </w:rPr>
              <w:t>Dodatkowo dedykowana karta graficzna z 2GB GDDR</w:t>
            </w:r>
            <w:r>
              <w:rPr>
                <w:rFonts w:asciiTheme="minorHAnsi" w:hAnsiTheme="minorHAnsi" w:cstheme="minorHAnsi"/>
                <w:bCs/>
                <w:sz w:val="20"/>
                <w:szCs w:val="20"/>
              </w:rPr>
              <w:t>5</w:t>
            </w:r>
            <w:r w:rsidRPr="004A1EB8">
              <w:rPr>
                <w:rFonts w:asciiTheme="minorHAnsi" w:hAnsiTheme="minorHAnsi" w:cstheme="minorHAnsi"/>
                <w:bCs/>
                <w:sz w:val="20"/>
                <w:szCs w:val="20"/>
              </w:rPr>
              <w:t xml:space="preserve"> pamięci niewspółdzielonej osiągająca w teście </w:t>
            </w:r>
            <w:proofErr w:type="spellStart"/>
            <w:r w:rsidRPr="004A1EB8">
              <w:rPr>
                <w:rFonts w:asciiTheme="minorHAnsi" w:hAnsiTheme="minorHAnsi" w:cstheme="minorHAnsi"/>
                <w:bCs/>
                <w:sz w:val="20"/>
                <w:szCs w:val="20"/>
              </w:rPr>
              <w:t>Passmark</w:t>
            </w:r>
            <w:proofErr w:type="spellEnd"/>
            <w:r w:rsidRPr="004A1EB8">
              <w:rPr>
                <w:rFonts w:asciiTheme="minorHAnsi" w:hAnsiTheme="minorHAnsi" w:cstheme="minorHAnsi"/>
                <w:bCs/>
                <w:sz w:val="20"/>
                <w:szCs w:val="20"/>
              </w:rPr>
              <w:t xml:space="preserve"> G3D Mark, w kategorii </w:t>
            </w:r>
            <w:proofErr w:type="spellStart"/>
            <w:r w:rsidRPr="004A1EB8">
              <w:rPr>
                <w:rFonts w:asciiTheme="minorHAnsi" w:hAnsiTheme="minorHAnsi" w:cstheme="minorHAnsi"/>
                <w:bCs/>
                <w:sz w:val="20"/>
                <w:szCs w:val="20"/>
              </w:rPr>
              <w:t>Average</w:t>
            </w:r>
            <w:proofErr w:type="spellEnd"/>
            <w:r w:rsidRPr="004A1EB8">
              <w:rPr>
                <w:rFonts w:asciiTheme="minorHAnsi" w:hAnsiTheme="minorHAnsi" w:cstheme="minorHAnsi"/>
                <w:bCs/>
                <w:sz w:val="20"/>
                <w:szCs w:val="20"/>
              </w:rPr>
              <w:t xml:space="preserve"> G3D Mark wynik co najmniej </w:t>
            </w:r>
            <w:r>
              <w:rPr>
                <w:rFonts w:asciiTheme="minorHAnsi" w:hAnsiTheme="minorHAnsi" w:cstheme="minorHAnsi"/>
                <w:bCs/>
                <w:sz w:val="20"/>
                <w:szCs w:val="20"/>
              </w:rPr>
              <w:t>6500</w:t>
            </w:r>
            <w:r w:rsidRPr="004A1EB8">
              <w:rPr>
                <w:rFonts w:asciiTheme="minorHAnsi" w:hAnsiTheme="minorHAnsi" w:cstheme="minorHAnsi"/>
                <w:bCs/>
                <w:sz w:val="20"/>
                <w:szCs w:val="20"/>
              </w:rPr>
              <w:t xml:space="preserve"> pkt. według wyników opublikowanych na stronie https://www.videocardbenchmark.net/gpu_list.php</w:t>
            </w:r>
          </w:p>
        </w:tc>
      </w:tr>
      <w:tr w:rsidR="0028780E" w:rsidRPr="00E2183D" w14:paraId="087F705A" w14:textId="77777777" w:rsidTr="00DB219B">
        <w:tc>
          <w:tcPr>
            <w:tcW w:w="1650" w:type="dxa"/>
            <w:shd w:val="clear" w:color="auto" w:fill="auto"/>
          </w:tcPr>
          <w:p w14:paraId="396D368E"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Wyposażenie multimedialne</w:t>
            </w:r>
          </w:p>
        </w:tc>
        <w:tc>
          <w:tcPr>
            <w:tcW w:w="9266" w:type="dxa"/>
            <w:shd w:val="clear" w:color="auto" w:fill="auto"/>
          </w:tcPr>
          <w:p w14:paraId="2DD2BBE8" w14:textId="77777777" w:rsidR="0028780E" w:rsidRPr="00E2183D" w:rsidRDefault="0028780E" w:rsidP="00DB219B">
            <w:pPr>
              <w:spacing w:after="0" w:line="240" w:lineRule="auto"/>
              <w:jc w:val="both"/>
              <w:rPr>
                <w:rFonts w:asciiTheme="minorHAnsi" w:hAnsiTheme="minorHAnsi" w:cstheme="minorHAnsi"/>
                <w:b/>
                <w:color w:val="00B050"/>
                <w:sz w:val="20"/>
                <w:szCs w:val="20"/>
              </w:rPr>
            </w:pPr>
            <w:r w:rsidRPr="00E2183D">
              <w:rPr>
                <w:rFonts w:asciiTheme="minorHAnsi" w:hAnsiTheme="minorHAnsi" w:cstheme="minorHAnsi"/>
                <w:bCs/>
                <w:sz w:val="20"/>
                <w:szCs w:val="20"/>
              </w:rPr>
              <w:t>Karta dźwiękowa zintegrowana z płytą główną, zgodna z High Definition</w:t>
            </w:r>
            <w:r>
              <w:rPr>
                <w:rFonts w:asciiTheme="minorHAnsi" w:hAnsiTheme="minorHAnsi" w:cstheme="minorHAnsi"/>
                <w:bCs/>
                <w:sz w:val="20"/>
                <w:szCs w:val="20"/>
              </w:rPr>
              <w:t>.</w:t>
            </w:r>
            <w:r w:rsidRPr="00E2183D">
              <w:rPr>
                <w:rFonts w:asciiTheme="minorHAnsi" w:hAnsiTheme="minorHAnsi" w:cstheme="minorHAnsi"/>
                <w:b/>
                <w:color w:val="00B050"/>
                <w:sz w:val="20"/>
                <w:szCs w:val="20"/>
              </w:rPr>
              <w:t xml:space="preserve"> </w:t>
            </w:r>
            <w:r w:rsidRPr="00E2183D">
              <w:rPr>
                <w:rFonts w:asciiTheme="minorHAnsi" w:hAnsiTheme="minorHAnsi" w:cstheme="minorHAnsi"/>
                <w:bCs/>
                <w:sz w:val="20"/>
                <w:szCs w:val="20"/>
              </w:rPr>
              <w:t xml:space="preserve">Port słuchawek i mikrofonu na przednim panelu, dopuszcza się rozwiązanie port </w:t>
            </w:r>
            <w:proofErr w:type="spellStart"/>
            <w:r w:rsidRPr="00E2183D">
              <w:rPr>
                <w:rFonts w:asciiTheme="minorHAnsi" w:hAnsiTheme="minorHAnsi" w:cstheme="minorHAnsi"/>
                <w:bCs/>
                <w:sz w:val="20"/>
                <w:szCs w:val="20"/>
              </w:rPr>
              <w:t>combo</w:t>
            </w:r>
            <w:proofErr w:type="spellEnd"/>
            <w:r w:rsidRPr="00E2183D">
              <w:rPr>
                <w:rFonts w:asciiTheme="minorHAnsi" w:hAnsiTheme="minorHAnsi" w:cstheme="minorHAnsi"/>
                <w:bCs/>
                <w:sz w:val="20"/>
                <w:szCs w:val="20"/>
              </w:rPr>
              <w:t>.</w:t>
            </w:r>
          </w:p>
        </w:tc>
      </w:tr>
      <w:tr w:rsidR="0028780E" w:rsidRPr="00E2183D" w14:paraId="2E0F4AC2" w14:textId="77777777" w:rsidTr="00DB219B">
        <w:trPr>
          <w:trHeight w:val="436"/>
        </w:trPr>
        <w:tc>
          <w:tcPr>
            <w:tcW w:w="1650" w:type="dxa"/>
            <w:shd w:val="clear" w:color="auto" w:fill="auto"/>
          </w:tcPr>
          <w:p w14:paraId="1C05E199" w14:textId="77777777" w:rsidR="0028780E" w:rsidRPr="006C48E0" w:rsidRDefault="0028780E" w:rsidP="00DB219B">
            <w:pPr>
              <w:spacing w:after="0" w:line="240" w:lineRule="auto"/>
              <w:jc w:val="both"/>
              <w:rPr>
                <w:rFonts w:asciiTheme="minorHAnsi" w:hAnsiTheme="minorHAnsi" w:cstheme="minorHAnsi"/>
                <w:b/>
                <w:sz w:val="20"/>
                <w:szCs w:val="20"/>
              </w:rPr>
            </w:pPr>
            <w:r w:rsidRPr="006C48E0">
              <w:rPr>
                <w:rFonts w:asciiTheme="minorHAnsi" w:hAnsiTheme="minorHAnsi" w:cstheme="minorHAnsi"/>
                <w:b/>
                <w:sz w:val="20"/>
                <w:szCs w:val="20"/>
              </w:rPr>
              <w:t>Obudowa</w:t>
            </w:r>
          </w:p>
        </w:tc>
        <w:tc>
          <w:tcPr>
            <w:tcW w:w="9266" w:type="dxa"/>
            <w:shd w:val="clear" w:color="auto" w:fill="auto"/>
          </w:tcPr>
          <w:p w14:paraId="28AC6733" w14:textId="77777777" w:rsidR="0028780E"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Typu </w:t>
            </w:r>
            <w:r>
              <w:rPr>
                <w:rFonts w:asciiTheme="minorHAnsi" w:hAnsiTheme="minorHAnsi" w:cstheme="minorHAnsi"/>
                <w:bCs/>
                <w:sz w:val="20"/>
                <w:szCs w:val="20"/>
              </w:rPr>
              <w:t>Mini Tower</w:t>
            </w:r>
            <w:r w:rsidRPr="00E2183D">
              <w:rPr>
                <w:rFonts w:asciiTheme="minorHAnsi" w:hAnsiTheme="minorHAnsi" w:cstheme="minorHAnsi"/>
                <w:bCs/>
                <w:sz w:val="20"/>
                <w:szCs w:val="20"/>
              </w:rPr>
              <w:t xml:space="preserve"> z obsługą kart wyłącznie o </w:t>
            </w:r>
            <w:r>
              <w:rPr>
                <w:rFonts w:asciiTheme="minorHAnsi" w:hAnsiTheme="minorHAnsi" w:cstheme="minorHAnsi"/>
                <w:bCs/>
                <w:sz w:val="20"/>
                <w:szCs w:val="20"/>
              </w:rPr>
              <w:t>pełnej wysokości</w:t>
            </w:r>
            <w:r w:rsidRPr="00E2183D">
              <w:rPr>
                <w:rFonts w:asciiTheme="minorHAnsi" w:hAnsiTheme="minorHAnsi" w:cstheme="minorHAnsi"/>
                <w:bCs/>
                <w:sz w:val="20"/>
                <w:szCs w:val="20"/>
              </w:rPr>
              <w:t xml:space="preserve">. Umożliwiająca montaż 1 x dysku 3.5” lub </w:t>
            </w:r>
            <w:r>
              <w:rPr>
                <w:rFonts w:asciiTheme="minorHAnsi" w:hAnsiTheme="minorHAnsi" w:cstheme="minorHAnsi"/>
                <w:bCs/>
                <w:sz w:val="20"/>
                <w:szCs w:val="20"/>
              </w:rPr>
              <w:t>1</w:t>
            </w:r>
            <w:r w:rsidRPr="00E2183D">
              <w:rPr>
                <w:rFonts w:asciiTheme="minorHAnsi" w:hAnsiTheme="minorHAnsi" w:cstheme="minorHAnsi"/>
                <w:bCs/>
                <w:sz w:val="20"/>
                <w:szCs w:val="20"/>
              </w:rPr>
              <w:t xml:space="preserve"> x dysk</w:t>
            </w:r>
            <w:r>
              <w:rPr>
                <w:rFonts w:asciiTheme="minorHAnsi" w:hAnsiTheme="minorHAnsi" w:cstheme="minorHAnsi"/>
                <w:bCs/>
                <w:sz w:val="20"/>
                <w:szCs w:val="20"/>
              </w:rPr>
              <w:t>u</w:t>
            </w:r>
            <w:r w:rsidRPr="00E2183D">
              <w:rPr>
                <w:rFonts w:asciiTheme="minorHAnsi" w:hAnsiTheme="minorHAnsi" w:cstheme="minorHAnsi"/>
                <w:bCs/>
                <w:sz w:val="20"/>
                <w:szCs w:val="20"/>
              </w:rPr>
              <w:t xml:space="preserve"> 2.5” wewnątrz obudowy. Obudowa fabrycznie przystosowana do pracy w orientacji pionowej. Otwory wentylacyjne usytuowane wyłącznie na przednim oraz tylnym panelu obudowy. Suma wymiarów obudowy nieprzekraczająca </w:t>
            </w:r>
            <w:r>
              <w:rPr>
                <w:rFonts w:asciiTheme="minorHAnsi" w:hAnsiTheme="minorHAnsi" w:cstheme="minorHAnsi"/>
                <w:bCs/>
                <w:sz w:val="20"/>
                <w:szCs w:val="20"/>
              </w:rPr>
              <w:t>775</w:t>
            </w:r>
            <w:r w:rsidRPr="00E2183D">
              <w:rPr>
                <w:rFonts w:asciiTheme="minorHAnsi" w:hAnsiTheme="minorHAnsi" w:cstheme="minorHAnsi"/>
                <w:bCs/>
                <w:sz w:val="20"/>
                <w:szCs w:val="20"/>
              </w:rPr>
              <w:t>mm</w:t>
            </w:r>
            <w:r>
              <w:rPr>
                <w:rFonts w:asciiTheme="minorHAnsi" w:hAnsiTheme="minorHAnsi" w:cstheme="minorHAnsi"/>
                <w:bCs/>
                <w:sz w:val="20"/>
                <w:szCs w:val="20"/>
              </w:rPr>
              <w:t>.</w:t>
            </w:r>
          </w:p>
          <w:p w14:paraId="78FFE757" w14:textId="77777777" w:rsidR="0028780E" w:rsidRPr="00E2183D" w:rsidRDefault="0028780E" w:rsidP="00DB219B">
            <w:pPr>
              <w:spacing w:after="0" w:line="240" w:lineRule="auto"/>
              <w:jc w:val="both"/>
              <w:rPr>
                <w:rFonts w:asciiTheme="minorHAnsi" w:hAnsiTheme="minorHAnsi" w:cstheme="minorHAnsi"/>
                <w:bCs/>
                <w:sz w:val="20"/>
                <w:szCs w:val="20"/>
              </w:rPr>
            </w:pPr>
          </w:p>
          <w:p w14:paraId="0C5AF051" w14:textId="77777777" w:rsidR="0028780E" w:rsidRDefault="0028780E"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Zasilacz o mocy min. 180W pracujący w sieci 230V 50/60Hz prądu zmiennego i efektywności min. 85% przy obciążeniu zasilacza na poziomie 50% oraz o efektywności min. 82% przy obciążeniu zasilacza na poziomie 100%</w:t>
            </w:r>
            <w:r>
              <w:rPr>
                <w:rFonts w:asciiTheme="minorHAnsi" w:hAnsiTheme="minorHAnsi" w:cstheme="minorHAnsi"/>
                <w:bCs/>
                <w:sz w:val="20"/>
                <w:szCs w:val="20"/>
              </w:rPr>
              <w:t>.</w:t>
            </w:r>
          </w:p>
          <w:p w14:paraId="17C202B5" w14:textId="77777777" w:rsidR="0028780E" w:rsidRPr="00117DFB" w:rsidRDefault="0028780E" w:rsidP="00DB219B">
            <w:pPr>
              <w:spacing w:after="0" w:line="240" w:lineRule="auto"/>
              <w:jc w:val="both"/>
              <w:rPr>
                <w:rFonts w:asciiTheme="minorHAnsi" w:hAnsiTheme="minorHAnsi" w:cstheme="minorHAnsi"/>
                <w:bCs/>
                <w:sz w:val="20"/>
                <w:szCs w:val="20"/>
              </w:rPr>
            </w:pPr>
          </w:p>
          <w:p w14:paraId="08EEA4D6"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Zasilacz w oferowanym komputerze musi znajdować</w:t>
            </w:r>
            <w:r>
              <w:rPr>
                <w:rFonts w:asciiTheme="minorHAnsi" w:hAnsiTheme="minorHAnsi" w:cstheme="minorHAnsi"/>
                <w:bCs/>
                <w:sz w:val="20"/>
                <w:szCs w:val="20"/>
              </w:rPr>
              <w:t xml:space="preserve"> się</w:t>
            </w:r>
            <w:r w:rsidRPr="00E2183D">
              <w:rPr>
                <w:rFonts w:asciiTheme="minorHAnsi" w:hAnsiTheme="minorHAnsi" w:cstheme="minorHAnsi"/>
                <w:bCs/>
                <w:sz w:val="20"/>
                <w:szCs w:val="20"/>
              </w:rPr>
              <w:t xml:space="preserve"> na stronie</w:t>
            </w:r>
            <w:r w:rsidRPr="00E2183D">
              <w:rPr>
                <w:rFonts w:asciiTheme="minorHAnsi" w:hAnsiTheme="minorHAnsi" w:cstheme="minorHAnsi"/>
                <w:bCs/>
                <w:color w:val="FF0000"/>
                <w:sz w:val="20"/>
                <w:szCs w:val="20"/>
              </w:rPr>
              <w:t xml:space="preserve"> </w:t>
            </w:r>
            <w:hyperlink r:id="rId6" w:history="1">
              <w:r w:rsidRPr="00E2183D">
                <w:rPr>
                  <w:rStyle w:val="Hipercze"/>
                  <w:rFonts w:asciiTheme="minorHAnsi" w:hAnsiTheme="minorHAnsi" w:cstheme="minorHAnsi"/>
                  <w:bCs/>
                  <w:sz w:val="20"/>
                  <w:szCs w:val="20"/>
                </w:rPr>
                <w:t>http://www.plugloadsolutions.com/80pluspowersupplies.aspx</w:t>
              </w:r>
            </w:hyperlink>
            <w:r w:rsidRPr="00E2183D">
              <w:rPr>
                <w:rFonts w:asciiTheme="minorHAnsi" w:hAnsiTheme="minorHAnsi" w:cstheme="minorHAnsi"/>
                <w:bCs/>
                <w:color w:val="FF0000"/>
                <w:sz w:val="20"/>
                <w:szCs w:val="20"/>
              </w:rPr>
              <w:t xml:space="preserve"> </w:t>
            </w:r>
            <w:r w:rsidRPr="00E2183D">
              <w:rPr>
                <w:rFonts w:asciiTheme="minorHAnsi" w:hAnsiTheme="minorHAnsi" w:cstheme="minorHAnsi"/>
                <w:bCs/>
                <w:sz w:val="20"/>
                <w:szCs w:val="20"/>
              </w:rPr>
              <w:t xml:space="preserve">do oferty należy dołączyć wydruk potwierdzający spełnienie wymogu 80plus, w przypadku, kiedy u producenta występuje kilka zasilaczy które są montowane na etapie produkcji w fabryce załączyć wydruki dla wszystkich </w:t>
            </w:r>
            <w:proofErr w:type="spellStart"/>
            <w:r w:rsidRPr="00E2183D">
              <w:rPr>
                <w:rFonts w:asciiTheme="minorHAnsi" w:hAnsiTheme="minorHAnsi" w:cstheme="minorHAnsi"/>
                <w:bCs/>
                <w:sz w:val="20"/>
                <w:szCs w:val="20"/>
              </w:rPr>
              <w:t>zasilaczy.Wydruki</w:t>
            </w:r>
            <w:proofErr w:type="spellEnd"/>
            <w:r w:rsidRPr="00E2183D">
              <w:rPr>
                <w:rFonts w:asciiTheme="minorHAnsi" w:hAnsiTheme="minorHAnsi" w:cstheme="minorHAnsi"/>
                <w:bCs/>
                <w:sz w:val="20"/>
                <w:szCs w:val="20"/>
              </w:rPr>
              <w:t xml:space="preserve"> 80plus musza być potwierdzone przez producenta lub dołączone oświadczenie producenta komputera, iż wskazane zasilacze przez wykonawcę spełniają 80plus. </w:t>
            </w:r>
          </w:p>
          <w:p w14:paraId="4636595E"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E2183D">
              <w:rPr>
                <w:rFonts w:asciiTheme="minorHAnsi" w:hAnsiTheme="minorHAnsi" w:cstheme="minorHAnsi"/>
                <w:bCs/>
                <w:sz w:val="20"/>
                <w:szCs w:val="20"/>
              </w:rPr>
              <w:t>radełkowych</w:t>
            </w:r>
            <w:proofErr w:type="spellEnd"/>
            <w:r w:rsidRPr="00E2183D">
              <w:rPr>
                <w:rFonts w:asciiTheme="minorHAnsi" w:hAnsiTheme="minorHAnsi" w:cstheme="minorHAnsi"/>
                <w:bCs/>
                <w:sz w:val="20"/>
                <w:szCs w:val="20"/>
              </w:rPr>
              <w:t xml:space="preserve">). Obudowa w jednostce centralnej musi być otwierana bez konieczności użycia narzędzi (wyklucza się użycie standardowych wkrętów, śrub motylkowych, śrub </w:t>
            </w:r>
            <w:proofErr w:type="spellStart"/>
            <w:r w:rsidRPr="00E2183D">
              <w:rPr>
                <w:rFonts w:asciiTheme="minorHAnsi" w:hAnsiTheme="minorHAnsi" w:cstheme="minorHAnsi"/>
                <w:bCs/>
                <w:sz w:val="20"/>
                <w:szCs w:val="20"/>
              </w:rPr>
              <w:t>radełkowych</w:t>
            </w:r>
            <w:proofErr w:type="spellEnd"/>
            <w:r w:rsidRPr="00E2183D">
              <w:rPr>
                <w:rFonts w:asciiTheme="minorHAnsi" w:hAnsiTheme="minorHAnsi" w:cstheme="minorHAnsi"/>
                <w:bCs/>
                <w:sz w:val="20"/>
                <w:szCs w:val="20"/>
              </w:rPr>
              <w:t>)</w:t>
            </w:r>
            <w:r w:rsidRPr="00117DFB">
              <w:rPr>
                <w:rFonts w:asciiTheme="minorHAnsi" w:hAnsiTheme="minorHAnsi" w:cstheme="minorHAnsi"/>
                <w:bCs/>
                <w:sz w:val="20"/>
                <w:szCs w:val="20"/>
              </w:rPr>
              <w:t>.</w:t>
            </w:r>
            <w:r w:rsidRPr="00E2183D">
              <w:rPr>
                <w:rFonts w:asciiTheme="minorHAnsi" w:hAnsiTheme="minorHAnsi" w:cstheme="minorHAnsi"/>
                <w:bCs/>
                <w:color w:val="00B050"/>
                <w:sz w:val="20"/>
                <w:szCs w:val="20"/>
              </w:rPr>
              <w:t xml:space="preserve"> </w:t>
            </w:r>
            <w:r w:rsidRPr="00E2183D">
              <w:rPr>
                <w:rFonts w:asciiTheme="minorHAnsi" w:hAnsiTheme="minorHAnsi" w:cstheme="minorHAnsi"/>
                <w:bCs/>
                <w:sz w:val="20"/>
                <w:szCs w:val="20"/>
              </w:rPr>
              <w:t xml:space="preserve">Obudowa musi umożliwiać zastosowanie zabezpieczenia fizycznego w postaci linki metalowej </w:t>
            </w:r>
            <w:r>
              <w:rPr>
                <w:rFonts w:asciiTheme="minorHAnsi" w:hAnsiTheme="minorHAnsi" w:cstheme="minorHAnsi"/>
                <w:bCs/>
                <w:sz w:val="20"/>
                <w:szCs w:val="20"/>
              </w:rPr>
              <w:t>o</w:t>
            </w:r>
            <w:r w:rsidRPr="00E2183D">
              <w:rPr>
                <w:rFonts w:asciiTheme="minorHAnsi" w:hAnsiTheme="minorHAnsi" w:cstheme="minorHAnsi"/>
                <w:bCs/>
                <w:sz w:val="20"/>
                <w:szCs w:val="20"/>
              </w:rPr>
              <w:t xml:space="preserve">raz kłódki (oczko w obudowie do </w:t>
            </w:r>
            <w:r>
              <w:rPr>
                <w:rFonts w:asciiTheme="minorHAnsi" w:hAnsiTheme="minorHAnsi" w:cstheme="minorHAnsi"/>
                <w:bCs/>
                <w:sz w:val="20"/>
                <w:szCs w:val="20"/>
              </w:rPr>
              <w:t>montażu</w:t>
            </w:r>
            <w:r w:rsidRPr="00E2183D">
              <w:rPr>
                <w:rFonts w:asciiTheme="minorHAnsi" w:hAnsiTheme="minorHAnsi" w:cstheme="minorHAnsi"/>
                <w:bCs/>
                <w:sz w:val="20"/>
                <w:szCs w:val="20"/>
              </w:rPr>
              <w:t>). Obudowa  wyposażona w zamek szybkiego dostępu</w:t>
            </w:r>
            <w:r>
              <w:rPr>
                <w:rFonts w:asciiTheme="minorHAnsi" w:hAnsiTheme="minorHAnsi" w:cstheme="minorHAnsi"/>
                <w:bCs/>
                <w:sz w:val="20"/>
                <w:szCs w:val="20"/>
              </w:rPr>
              <w:t xml:space="preserve">, </w:t>
            </w:r>
            <w:r w:rsidRPr="00E2183D">
              <w:rPr>
                <w:rFonts w:asciiTheme="minorHAnsi" w:hAnsiTheme="minorHAnsi" w:cstheme="minorHAnsi"/>
                <w:bCs/>
                <w:sz w:val="20"/>
                <w:szCs w:val="20"/>
              </w:rPr>
              <w:t xml:space="preserve">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E2183D">
              <w:rPr>
                <w:rFonts w:asciiTheme="minorHAnsi" w:hAnsiTheme="minorHAnsi" w:cstheme="minorHAnsi"/>
                <w:bCs/>
                <w:sz w:val="20"/>
                <w:szCs w:val="20"/>
              </w:rPr>
              <w:t>BIOS’u</w:t>
            </w:r>
            <w:proofErr w:type="spellEnd"/>
            <w:r w:rsidRPr="00E2183D">
              <w:rPr>
                <w:rFonts w:asciiTheme="minorHAnsi" w:hAnsiTheme="minorHAnsi" w:cstheme="minorHAnsi"/>
                <w:bCs/>
                <w:sz w:val="20"/>
                <w:szCs w:val="20"/>
              </w:rPr>
              <w:t xml:space="preserve">, awarię procesora. </w:t>
            </w:r>
            <w:r>
              <w:rPr>
                <w:rFonts w:asciiTheme="minorHAnsi" w:hAnsiTheme="minorHAnsi" w:cstheme="minorHAnsi"/>
                <w:bCs/>
                <w:sz w:val="20"/>
                <w:szCs w:val="20"/>
              </w:rPr>
              <w:t>S</w:t>
            </w:r>
            <w:r w:rsidRPr="00E2183D">
              <w:rPr>
                <w:rFonts w:asciiTheme="minorHAnsi" w:hAnsiTheme="minorHAnsi" w:cstheme="minorHAnsi"/>
                <w:bCs/>
                <w:sz w:val="20"/>
                <w:szCs w:val="20"/>
              </w:rPr>
              <w:t>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28780E" w:rsidRPr="00E2183D" w14:paraId="340E33AA" w14:textId="77777777" w:rsidTr="00DB219B">
        <w:tc>
          <w:tcPr>
            <w:tcW w:w="1650" w:type="dxa"/>
            <w:shd w:val="clear" w:color="auto" w:fill="auto"/>
          </w:tcPr>
          <w:p w14:paraId="1BB3C5A0"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Bezpieczeństwo</w:t>
            </w:r>
          </w:p>
        </w:tc>
        <w:tc>
          <w:tcPr>
            <w:tcW w:w="9266" w:type="dxa"/>
            <w:shd w:val="clear" w:color="auto" w:fill="auto"/>
          </w:tcPr>
          <w:p w14:paraId="5AB15A19" w14:textId="77777777" w:rsidR="0028780E"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60DA5C27"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lastRenderedPageBreak/>
              <w:t xml:space="preserve">System diagnostyczny z graficznym interfejsem użytkownika zaszyty w tej samej pamięci </w:t>
            </w:r>
            <w:proofErr w:type="spellStart"/>
            <w:r w:rsidRPr="00E2183D">
              <w:rPr>
                <w:rFonts w:asciiTheme="minorHAnsi" w:hAnsiTheme="minorHAnsi" w:cstheme="minorHAnsi"/>
                <w:bCs/>
                <w:sz w:val="20"/>
                <w:szCs w:val="20"/>
              </w:rPr>
              <w:t>flash</w:t>
            </w:r>
            <w:proofErr w:type="spellEnd"/>
            <w:r w:rsidRPr="00E2183D">
              <w:rPr>
                <w:rFonts w:asciiTheme="minorHAnsi" w:hAnsiTheme="minorHAnsi" w:cstheme="minorHAnsi"/>
                <w:bCs/>
                <w:sz w:val="20"/>
                <w:szCs w:val="20"/>
              </w:rPr>
              <w:t xml:space="preserve"> co BIOS, dostępny z poziomu szybkiego menu </w:t>
            </w:r>
            <w:proofErr w:type="spellStart"/>
            <w:r w:rsidRPr="00E2183D">
              <w:rPr>
                <w:rFonts w:asciiTheme="minorHAnsi" w:hAnsiTheme="minorHAnsi" w:cstheme="minorHAnsi"/>
                <w:bCs/>
                <w:sz w:val="20"/>
                <w:szCs w:val="20"/>
              </w:rPr>
              <w:t>boot</w:t>
            </w:r>
            <w:proofErr w:type="spellEnd"/>
            <w:r w:rsidRPr="00E2183D">
              <w:rPr>
                <w:rFonts w:asciiTheme="minorHAnsi" w:hAnsiTheme="minorHAnsi" w:cstheme="minorHAnsi"/>
                <w:bCs/>
                <w:sz w:val="20"/>
                <w:szCs w:val="20"/>
              </w:rPr>
              <w:t xml:space="preserve"> lub BIOS, umożliwiający przetestowanie komputera </w:t>
            </w:r>
            <w:r>
              <w:rPr>
                <w:rFonts w:asciiTheme="minorHAnsi" w:hAnsiTheme="minorHAnsi" w:cstheme="minorHAnsi"/>
                <w:bCs/>
                <w:sz w:val="20"/>
                <w:szCs w:val="20"/>
              </w:rPr>
              <w:t>a</w:t>
            </w:r>
            <w:r w:rsidRPr="00E2183D">
              <w:rPr>
                <w:rFonts w:asciiTheme="minorHAnsi" w:hAnsiTheme="minorHAnsi" w:cstheme="minorHAnsi"/>
                <w:bCs/>
                <w:sz w:val="20"/>
                <w:szCs w:val="20"/>
              </w:rPr>
              <w:t xml:space="preserve"> w szczególności jego składowych. System zapewniający pełną funkcjonalność, a także zachowujący </w:t>
            </w:r>
            <w:r>
              <w:rPr>
                <w:rFonts w:asciiTheme="minorHAnsi" w:hAnsiTheme="minorHAnsi" w:cstheme="minorHAnsi"/>
                <w:bCs/>
                <w:sz w:val="20"/>
                <w:szCs w:val="20"/>
              </w:rPr>
              <w:t>pełną funkcjonalność</w:t>
            </w:r>
            <w:r w:rsidRPr="00E2183D">
              <w:rPr>
                <w:rFonts w:asciiTheme="minorHAnsi" w:hAnsiTheme="minorHAnsi" w:cstheme="minorHAnsi"/>
                <w:bCs/>
                <w:sz w:val="20"/>
                <w:szCs w:val="20"/>
              </w:rPr>
              <w:t xml:space="preserve"> nawet w przypadku braku dysku twardego oraz jego uszkodzenia, nie wymagający stosowania zewnętrznych nośników pamięci masowej oraz dostępu do </w:t>
            </w:r>
            <w:proofErr w:type="spellStart"/>
            <w:r w:rsidRPr="00E2183D">
              <w:rPr>
                <w:rFonts w:asciiTheme="minorHAnsi" w:hAnsiTheme="minorHAnsi" w:cstheme="minorHAnsi"/>
                <w:bCs/>
                <w:sz w:val="20"/>
                <w:szCs w:val="20"/>
              </w:rPr>
              <w:t>internetu</w:t>
            </w:r>
            <w:proofErr w:type="spellEnd"/>
            <w:r w:rsidRPr="00E2183D">
              <w:rPr>
                <w:rFonts w:asciiTheme="minorHAnsi" w:hAnsiTheme="minorHAnsi" w:cstheme="minorHAnsi"/>
                <w:bCs/>
                <w:sz w:val="20"/>
                <w:szCs w:val="20"/>
              </w:rPr>
              <w:t xml:space="preserve"> i sieci lokalnej.</w:t>
            </w:r>
            <w:r>
              <w:rPr>
                <w:rFonts w:asciiTheme="minorHAnsi" w:hAnsiTheme="minorHAnsi" w:cstheme="minorHAnsi"/>
                <w:bCs/>
                <w:sz w:val="20"/>
                <w:szCs w:val="20"/>
              </w:rPr>
              <w:t xml:space="preserve"> </w:t>
            </w:r>
            <w:r w:rsidRPr="00E2183D">
              <w:rPr>
                <w:rFonts w:asciiTheme="minorHAnsi" w:hAnsiTheme="minorHAnsi" w:cstheme="minorHAnsi"/>
                <w:bCs/>
                <w:sz w:val="20"/>
                <w:szCs w:val="20"/>
              </w:rPr>
              <w:t xml:space="preserve">Procedura POST traktowana jest jako oddzielna funkcjonalność. </w:t>
            </w:r>
          </w:p>
        </w:tc>
      </w:tr>
      <w:tr w:rsidR="0028780E" w:rsidRPr="00E2183D" w14:paraId="41CEBF41" w14:textId="77777777" w:rsidTr="00DB219B">
        <w:tc>
          <w:tcPr>
            <w:tcW w:w="1650" w:type="dxa"/>
            <w:shd w:val="clear" w:color="auto" w:fill="auto"/>
          </w:tcPr>
          <w:p w14:paraId="1FE0BF07"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lastRenderedPageBreak/>
              <w:t>BIOS</w:t>
            </w:r>
          </w:p>
        </w:tc>
        <w:tc>
          <w:tcPr>
            <w:tcW w:w="9266" w:type="dxa"/>
            <w:shd w:val="clear" w:color="auto" w:fill="auto"/>
          </w:tcPr>
          <w:p w14:paraId="0C0D20D9"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w:t>
            </w:r>
            <w:r>
              <w:rPr>
                <w:rFonts w:asciiTheme="minorHAnsi" w:hAnsiTheme="minorHAnsi" w:cstheme="minorHAnsi"/>
                <w:bCs/>
                <w:sz w:val="20"/>
                <w:szCs w:val="20"/>
              </w:rPr>
              <w:t>bieżącej</w:t>
            </w:r>
            <w:r w:rsidRPr="00E2183D">
              <w:rPr>
                <w:rFonts w:asciiTheme="minorHAnsi" w:hAnsiTheme="minorHAnsi" w:cstheme="minorHAnsi"/>
                <w:bCs/>
                <w:sz w:val="20"/>
                <w:szCs w:val="20"/>
              </w:rPr>
              <w:t xml:space="preserve"> prędkości procesora, minimalnej i maksymalnej  osiąganej prędkości  procesora, pojemności zainstalowanego lub zainstalowanych dysk</w:t>
            </w:r>
            <w:r>
              <w:rPr>
                <w:rFonts w:asciiTheme="minorHAnsi" w:hAnsiTheme="minorHAnsi" w:cstheme="minorHAnsi"/>
                <w:bCs/>
                <w:sz w:val="20"/>
                <w:szCs w:val="20"/>
              </w:rPr>
              <w:t>ach SATA i M.2</w:t>
            </w:r>
            <w:r w:rsidRPr="00E2183D">
              <w:rPr>
                <w:rFonts w:asciiTheme="minorHAnsi" w:hAnsiTheme="minorHAnsi" w:cstheme="minorHAnsi"/>
                <w:bCs/>
                <w:sz w:val="20"/>
                <w:szCs w:val="20"/>
              </w:rPr>
              <w:t>, , MAC  zintegrowanej karty sieciowej, zintegrowanym układzie graficznym, kontrolerze audio.</w:t>
            </w:r>
          </w:p>
          <w:p w14:paraId="6EB1EC3C" w14:textId="77777777" w:rsidR="0028780E" w:rsidRPr="00E2183D" w:rsidRDefault="0028780E" w:rsidP="00DB219B">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E2183D">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3AC0BDF9" w14:textId="77777777" w:rsidR="0028780E" w:rsidRDefault="0028780E" w:rsidP="00DB219B">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E2183D">
              <w:rPr>
                <w:rFonts w:asciiTheme="minorHAnsi" w:hAnsiTheme="minorHAnsi" w:cstheme="minorHAnsi"/>
                <w:bCs/>
                <w:sz w:val="20"/>
                <w:szCs w:val="20"/>
              </w:rPr>
              <w:t>Funkcja blokowania/odblokowania BOOT-</w:t>
            </w:r>
            <w:proofErr w:type="spellStart"/>
            <w:r w:rsidRPr="00E2183D">
              <w:rPr>
                <w:rFonts w:asciiTheme="minorHAnsi" w:hAnsiTheme="minorHAnsi" w:cstheme="minorHAnsi"/>
                <w:bCs/>
                <w:sz w:val="20"/>
                <w:szCs w:val="20"/>
              </w:rPr>
              <w:t>owania</w:t>
            </w:r>
            <w:proofErr w:type="spellEnd"/>
            <w:r w:rsidRPr="00E2183D">
              <w:rPr>
                <w:rFonts w:asciiTheme="minorHAnsi" w:hAnsiTheme="minorHAnsi" w:cstheme="minorHAnsi"/>
                <w:bCs/>
                <w:sz w:val="20"/>
                <w:szCs w:val="20"/>
              </w:rPr>
              <w:t xml:space="preserve"> stacji roboczej z zewnętrznych urządze</w:t>
            </w:r>
            <w:r>
              <w:rPr>
                <w:rFonts w:asciiTheme="minorHAnsi" w:hAnsiTheme="minorHAnsi" w:cstheme="minorHAnsi"/>
                <w:bCs/>
                <w:sz w:val="20"/>
                <w:szCs w:val="20"/>
              </w:rPr>
              <w:t>ń</w:t>
            </w:r>
            <w:r w:rsidRPr="00E2183D">
              <w:rPr>
                <w:rFonts w:asciiTheme="minorHAnsi" w:hAnsiTheme="minorHAnsi" w:cstheme="minorHAnsi"/>
                <w:bCs/>
                <w:sz w:val="20"/>
                <w:szCs w:val="20"/>
              </w:rPr>
              <w:t xml:space="preserve">, </w:t>
            </w:r>
            <w:r w:rsidRPr="0056224F">
              <w:rPr>
                <w:rFonts w:asciiTheme="minorHAnsi" w:hAnsiTheme="minorHAnsi" w:cstheme="minorHAnsi"/>
                <w:bCs/>
                <w:sz w:val="20"/>
                <w:szCs w:val="20"/>
              </w:rPr>
              <w:t>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w:t>
            </w:r>
            <w:r w:rsidRPr="00E2183D">
              <w:rPr>
                <w:rFonts w:asciiTheme="minorHAnsi" w:hAnsiTheme="minorHAnsi" w:cstheme="minorHAnsi"/>
                <w:bCs/>
                <w:sz w:val="20"/>
                <w:szCs w:val="20"/>
              </w:rPr>
              <w:t xml:space="preserve">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E2183D">
              <w:rPr>
                <w:rFonts w:asciiTheme="minorHAnsi" w:hAnsiTheme="minorHAnsi" w:cstheme="minorHAnsi"/>
                <w:bCs/>
                <w:sz w:val="20"/>
                <w:szCs w:val="20"/>
              </w:rPr>
              <w:t>bootujących</w:t>
            </w:r>
            <w:proofErr w:type="spellEnd"/>
            <w:r w:rsidRPr="00E2183D">
              <w:rPr>
                <w:rFonts w:asciiTheme="minorHAnsi" w:hAnsiTheme="minorHAnsi" w:cstheme="minorHAnsi"/>
                <w:bCs/>
                <w:sz w:val="20"/>
                <w:szCs w:val="20"/>
              </w:rPr>
              <w:t xml:space="preserve"> typu USB). Możliwość wyłączania portów USB pojedynczo. </w:t>
            </w:r>
          </w:p>
          <w:p w14:paraId="0F44BCD2" w14:textId="77777777" w:rsidR="0028780E" w:rsidRPr="00E2183D" w:rsidRDefault="0028780E" w:rsidP="00DB219B">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56224F">
              <w:rPr>
                <w:rFonts w:asciiTheme="minorHAnsi" w:hAnsiTheme="minorHAnsi" w:cstheme="minorHAnsi"/>
                <w:bCs/>
                <w:sz w:val="20"/>
                <w:szCs w:val="20"/>
              </w:rPr>
              <w:t xml:space="preserve">Dedykowane w BIOS pole </w:t>
            </w:r>
            <w:proofErr w:type="spellStart"/>
            <w:r w:rsidRPr="0056224F">
              <w:rPr>
                <w:rFonts w:asciiTheme="minorHAnsi" w:hAnsiTheme="minorHAnsi" w:cstheme="minorHAnsi"/>
                <w:bCs/>
                <w:sz w:val="20"/>
                <w:szCs w:val="20"/>
              </w:rPr>
              <w:t>Asset</w:t>
            </w:r>
            <w:proofErr w:type="spellEnd"/>
            <w:r w:rsidRPr="0056224F">
              <w:rPr>
                <w:rFonts w:asciiTheme="minorHAnsi" w:hAnsiTheme="minorHAnsi" w:cstheme="minorHAnsi"/>
                <w:bCs/>
                <w:sz w:val="20"/>
                <w:szCs w:val="20"/>
              </w:rPr>
              <w:t xml:space="preserve"> Tag/numeru inwentarzowego umożliwiająca wpisanie oznaczenia sprzętu bezpośrednio z poziomu BIOS bez konieczności wykorzystywania dodatkowego oprogramowania. Pole </w:t>
            </w:r>
            <w:proofErr w:type="spellStart"/>
            <w:r w:rsidRPr="0056224F">
              <w:rPr>
                <w:rFonts w:asciiTheme="minorHAnsi" w:hAnsiTheme="minorHAnsi" w:cstheme="minorHAnsi"/>
                <w:bCs/>
                <w:sz w:val="20"/>
                <w:szCs w:val="20"/>
              </w:rPr>
              <w:t>Asset</w:t>
            </w:r>
            <w:proofErr w:type="spellEnd"/>
            <w:r w:rsidRPr="0056224F">
              <w:rPr>
                <w:rFonts w:asciiTheme="minorHAnsi" w:hAnsiTheme="minorHAnsi" w:cstheme="minorHAnsi"/>
                <w:bCs/>
                <w:sz w:val="20"/>
                <w:szCs w:val="20"/>
              </w:rPr>
              <w:t xml:space="preserve"> Tag/numeru inwentarzowego po nadaniu numeru nie może być edytowalne w BIOS  i nie może ulegać skasowaniu np. po aktualizacji BIOS.</w:t>
            </w:r>
          </w:p>
          <w:p w14:paraId="5B0C8314" w14:textId="77777777" w:rsidR="0028780E" w:rsidRPr="00CA7778" w:rsidRDefault="0028780E" w:rsidP="00DB219B">
            <w:pPr>
              <w:widowControl w:val="0"/>
              <w:autoSpaceDE w:val="0"/>
              <w:autoSpaceDN w:val="0"/>
              <w:adjustRightInd w:val="0"/>
              <w:spacing w:after="0" w:line="240" w:lineRule="auto"/>
              <w:ind w:right="50"/>
              <w:jc w:val="both"/>
              <w:rPr>
                <w:rFonts w:asciiTheme="minorHAnsi" w:hAnsiTheme="minorHAnsi" w:cstheme="minorHAnsi"/>
                <w:bCs/>
                <w:color w:val="FF0000"/>
                <w:sz w:val="20"/>
                <w:szCs w:val="20"/>
              </w:rPr>
            </w:pPr>
            <w:r w:rsidRPr="00E2183D">
              <w:rPr>
                <w:rFonts w:asciiTheme="minorHAnsi" w:hAnsiTheme="minorHAnsi" w:cstheme="minorHAnsi"/>
                <w:bCs/>
                <w:sz w:val="20"/>
                <w:szCs w:val="20"/>
              </w:rPr>
              <w:t xml:space="preserve">Możliwość dokonywania </w:t>
            </w:r>
            <w:proofErr w:type="spellStart"/>
            <w:r w:rsidRPr="00E2183D">
              <w:rPr>
                <w:rFonts w:asciiTheme="minorHAnsi" w:hAnsiTheme="minorHAnsi" w:cstheme="minorHAnsi"/>
                <w:bCs/>
                <w:sz w:val="20"/>
                <w:szCs w:val="20"/>
              </w:rPr>
              <w:t>backup’u</w:t>
            </w:r>
            <w:proofErr w:type="spellEnd"/>
            <w:r w:rsidRPr="00E2183D">
              <w:rPr>
                <w:rFonts w:asciiTheme="minorHAnsi" w:hAnsiTheme="minorHAnsi" w:cstheme="minorHAnsi"/>
                <w:bCs/>
                <w:sz w:val="20"/>
                <w:szCs w:val="20"/>
              </w:rPr>
              <w:t xml:space="preserve"> BIOS wraz z ustawieniami na dysku wewnętrznym</w:t>
            </w:r>
            <w:r>
              <w:rPr>
                <w:rFonts w:asciiTheme="minorHAnsi" w:hAnsiTheme="minorHAnsi" w:cstheme="minorHAnsi"/>
                <w:bCs/>
                <w:sz w:val="20"/>
                <w:szCs w:val="20"/>
              </w:rPr>
              <w:t>.</w:t>
            </w:r>
          </w:p>
          <w:p w14:paraId="0A0D785A"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Oferowany BIOS musi posiadać poza swoją wewnętrzną strukturą menu szybkiego </w:t>
            </w:r>
            <w:proofErr w:type="spellStart"/>
            <w:r w:rsidRPr="00E2183D">
              <w:rPr>
                <w:rFonts w:asciiTheme="minorHAnsi" w:hAnsiTheme="minorHAnsi" w:cstheme="minorHAnsi"/>
                <w:bCs/>
                <w:sz w:val="20"/>
                <w:szCs w:val="20"/>
              </w:rPr>
              <w:t>boot’owania</w:t>
            </w:r>
            <w:proofErr w:type="spellEnd"/>
            <w:r w:rsidRPr="00E2183D">
              <w:rPr>
                <w:rFonts w:asciiTheme="minorHAnsi" w:hAnsiTheme="minorHAnsi" w:cstheme="min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E2183D">
              <w:rPr>
                <w:rFonts w:asciiTheme="minorHAnsi" w:hAnsiTheme="minorHAnsi" w:cstheme="minorHAnsi"/>
                <w:bCs/>
                <w:sz w:val="20"/>
                <w:szCs w:val="20"/>
              </w:rPr>
              <w:t>upgrade</w:t>
            </w:r>
            <w:proofErr w:type="spellEnd"/>
            <w:r w:rsidRPr="00E2183D">
              <w:rPr>
                <w:rFonts w:asciiTheme="minorHAnsi" w:hAnsiTheme="minorHAnsi" w:cstheme="minorHAnsi"/>
                <w:bCs/>
                <w:sz w:val="20"/>
                <w:szCs w:val="20"/>
              </w:rPr>
              <w:t xml:space="preserve"> BIOS.</w:t>
            </w:r>
          </w:p>
        </w:tc>
      </w:tr>
      <w:tr w:rsidR="0028780E" w:rsidRPr="00E2183D" w14:paraId="2F643C55" w14:textId="77777777" w:rsidTr="00DB219B">
        <w:tc>
          <w:tcPr>
            <w:tcW w:w="1650" w:type="dxa"/>
            <w:shd w:val="clear" w:color="auto" w:fill="auto"/>
          </w:tcPr>
          <w:p w14:paraId="338C010C" w14:textId="77777777" w:rsidR="0028780E" w:rsidRPr="006C48E0" w:rsidRDefault="0028780E"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Wirtualizacja</w:t>
            </w:r>
          </w:p>
        </w:tc>
        <w:tc>
          <w:tcPr>
            <w:tcW w:w="9266" w:type="dxa"/>
            <w:shd w:val="clear" w:color="auto" w:fill="auto"/>
          </w:tcPr>
          <w:p w14:paraId="1D10FA6F"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sz w:val="20"/>
                <w:szCs w:val="20"/>
              </w:rPr>
              <w:t>Sprzętowe wsparcie technologi</w:t>
            </w:r>
            <w:r>
              <w:rPr>
                <w:rFonts w:asciiTheme="minorHAnsi" w:hAnsiTheme="minorHAnsi" w:cstheme="minorHAnsi"/>
                <w:sz w:val="20"/>
                <w:szCs w:val="20"/>
              </w:rPr>
              <w:t>i</w:t>
            </w:r>
            <w:r w:rsidRPr="00E2183D">
              <w:rPr>
                <w:rFonts w:asciiTheme="minorHAnsi" w:hAnsiTheme="minorHAnsi" w:cstheme="minorHAnsi"/>
                <w:sz w:val="20"/>
                <w:szCs w:val="20"/>
              </w:rPr>
              <w:t xml:space="preserve"> wirtualizacji realizowane łącznie w procesorze, chipsecie płyty </w:t>
            </w:r>
            <w:proofErr w:type="spellStart"/>
            <w:r w:rsidRPr="00E2183D">
              <w:rPr>
                <w:rFonts w:asciiTheme="minorHAnsi" w:hAnsiTheme="minorHAnsi" w:cstheme="minorHAnsi"/>
                <w:sz w:val="20"/>
                <w:szCs w:val="20"/>
              </w:rPr>
              <w:t>główej</w:t>
            </w:r>
            <w:proofErr w:type="spellEnd"/>
            <w:r w:rsidRPr="00E2183D">
              <w:rPr>
                <w:rFonts w:asciiTheme="minorHAnsi" w:hAnsiTheme="minorHAnsi" w:cstheme="minorHAnsi"/>
                <w:sz w:val="20"/>
                <w:szCs w:val="20"/>
              </w:rPr>
              <w:t xml:space="preserve"> oraz w  BIOS systemu (możliwość włączenia/wyłączenia sprzętowego wsparcia wirtualizacji dla poszczególnych komponentów systemu).</w:t>
            </w:r>
          </w:p>
        </w:tc>
      </w:tr>
      <w:tr w:rsidR="0028780E" w:rsidRPr="00E2183D" w14:paraId="73DF0229" w14:textId="77777777" w:rsidTr="00DB219B">
        <w:tc>
          <w:tcPr>
            <w:tcW w:w="1650" w:type="dxa"/>
            <w:shd w:val="clear" w:color="auto" w:fill="auto"/>
          </w:tcPr>
          <w:p w14:paraId="336B51B6"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System operacyjny</w:t>
            </w:r>
          </w:p>
        </w:tc>
        <w:tc>
          <w:tcPr>
            <w:tcW w:w="9266" w:type="dxa"/>
            <w:shd w:val="clear" w:color="auto" w:fill="auto"/>
          </w:tcPr>
          <w:p w14:paraId="372A7BE0" w14:textId="77777777" w:rsidR="0028780E" w:rsidRPr="00E2183D" w:rsidRDefault="0028780E"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bdr w:val="none" w:sz="0" w:space="0" w:color="auto" w:frame="1"/>
              </w:rPr>
              <w:t xml:space="preserve">Zainstalowany system operacyjny Windows 11 Professional, musi być zapisany trwale w BIOS i umożliwiać </w:t>
            </w:r>
            <w:proofErr w:type="spellStart"/>
            <w:r w:rsidRPr="00117DFB">
              <w:rPr>
                <w:rFonts w:asciiTheme="minorHAnsi" w:hAnsiTheme="minorHAnsi" w:cstheme="minorHAnsi"/>
                <w:bCs/>
                <w:sz w:val="20"/>
                <w:szCs w:val="20"/>
                <w:bdr w:val="none" w:sz="0" w:space="0" w:color="auto" w:frame="1"/>
              </w:rPr>
              <w:t>reinstalację</w:t>
            </w:r>
            <w:proofErr w:type="spellEnd"/>
            <w:r w:rsidRPr="00117DFB">
              <w:rPr>
                <w:rFonts w:asciiTheme="minorHAnsi" w:hAnsiTheme="minorHAnsi" w:cstheme="minorHAnsi"/>
                <w:bCs/>
                <w:sz w:val="20"/>
                <w:szCs w:val="20"/>
                <w:bdr w:val="none" w:sz="0" w:space="0" w:color="auto" w:frame="1"/>
              </w:rPr>
              <w:t xml:space="preserve"> systemu operacyjnego bez potrzeby ręcznego wpisywania klucza licencyjnego.</w:t>
            </w:r>
          </w:p>
        </w:tc>
      </w:tr>
      <w:tr w:rsidR="0028780E" w:rsidRPr="00E2183D" w14:paraId="79DDBCFF" w14:textId="77777777" w:rsidTr="00DB219B">
        <w:tc>
          <w:tcPr>
            <w:tcW w:w="1650" w:type="dxa"/>
            <w:shd w:val="clear" w:color="auto" w:fill="auto"/>
          </w:tcPr>
          <w:p w14:paraId="4D62CB2A"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Certyfikaty i standardy</w:t>
            </w:r>
          </w:p>
        </w:tc>
        <w:tc>
          <w:tcPr>
            <w:tcW w:w="9266" w:type="dxa"/>
            <w:shd w:val="clear" w:color="auto" w:fill="auto"/>
          </w:tcPr>
          <w:p w14:paraId="6218F63A" w14:textId="77777777" w:rsidR="0028780E" w:rsidRDefault="0028780E" w:rsidP="00DB219B">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System zarządzania jakością - c</w:t>
            </w:r>
            <w:r w:rsidRPr="00E2183D">
              <w:rPr>
                <w:rFonts w:asciiTheme="minorHAnsi" w:hAnsiTheme="minorHAnsi" w:cstheme="minorHAnsi"/>
                <w:bCs/>
                <w:sz w:val="20"/>
                <w:szCs w:val="20"/>
              </w:rPr>
              <w:t>ertyfikat ISO9001 dla producenta sprzętu (załączyć dokument potwierdzający spełnianie wymogu)</w:t>
            </w:r>
          </w:p>
          <w:p w14:paraId="72AB0574" w14:textId="77777777" w:rsidR="0028780E" w:rsidRDefault="0028780E" w:rsidP="00DB219B">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System zarządzania środowiskowego - c</w:t>
            </w:r>
            <w:r w:rsidRPr="00E2183D">
              <w:rPr>
                <w:rFonts w:asciiTheme="minorHAnsi" w:hAnsiTheme="minorHAnsi" w:cstheme="minorHAnsi"/>
                <w:bCs/>
                <w:sz w:val="20"/>
                <w:szCs w:val="20"/>
              </w:rPr>
              <w:t>ertyfikat ISO</w:t>
            </w:r>
            <w:r>
              <w:rPr>
                <w:rFonts w:asciiTheme="minorHAnsi" w:hAnsiTheme="minorHAnsi" w:cstheme="minorHAnsi"/>
                <w:bCs/>
                <w:sz w:val="20"/>
                <w:szCs w:val="20"/>
              </w:rPr>
              <w:t>14</w:t>
            </w:r>
            <w:r w:rsidRPr="00E2183D">
              <w:rPr>
                <w:rFonts w:asciiTheme="minorHAnsi" w:hAnsiTheme="minorHAnsi" w:cstheme="minorHAnsi"/>
                <w:bCs/>
                <w:sz w:val="20"/>
                <w:szCs w:val="20"/>
              </w:rPr>
              <w:t>001 dla producenta sprzętu (załączyć dokument potwierdzający spełnianie wymogu)</w:t>
            </w:r>
          </w:p>
          <w:p w14:paraId="25FD330C" w14:textId="77777777" w:rsidR="0028780E" w:rsidRDefault="0028780E" w:rsidP="00DB219B">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System </w:t>
            </w:r>
            <w:proofErr w:type="spellStart"/>
            <w:r>
              <w:rPr>
                <w:rFonts w:asciiTheme="minorHAnsi" w:hAnsiTheme="minorHAnsi" w:cstheme="minorHAnsi"/>
                <w:bCs/>
                <w:sz w:val="20"/>
                <w:szCs w:val="20"/>
              </w:rPr>
              <w:t>zarządznaia</w:t>
            </w:r>
            <w:proofErr w:type="spellEnd"/>
            <w:r>
              <w:rPr>
                <w:rFonts w:asciiTheme="minorHAnsi" w:hAnsiTheme="minorHAnsi" w:cstheme="minorHAnsi"/>
                <w:bCs/>
                <w:sz w:val="20"/>
                <w:szCs w:val="20"/>
              </w:rPr>
              <w:t xml:space="preserve"> energią - c</w:t>
            </w:r>
            <w:r w:rsidRPr="00E2183D">
              <w:rPr>
                <w:rFonts w:asciiTheme="minorHAnsi" w:hAnsiTheme="minorHAnsi" w:cstheme="minorHAnsi"/>
                <w:bCs/>
                <w:sz w:val="20"/>
                <w:szCs w:val="20"/>
              </w:rPr>
              <w:t>ertyfikat ISO</w:t>
            </w:r>
            <w:r>
              <w:rPr>
                <w:rFonts w:asciiTheme="minorHAnsi" w:hAnsiTheme="minorHAnsi" w:cstheme="minorHAnsi"/>
                <w:bCs/>
                <w:sz w:val="20"/>
                <w:szCs w:val="20"/>
              </w:rPr>
              <w:t>50001</w:t>
            </w:r>
            <w:r w:rsidRPr="00E2183D">
              <w:rPr>
                <w:rFonts w:asciiTheme="minorHAnsi" w:hAnsiTheme="minorHAnsi" w:cstheme="minorHAnsi"/>
                <w:bCs/>
                <w:sz w:val="20"/>
                <w:szCs w:val="20"/>
              </w:rPr>
              <w:t xml:space="preserve"> dla producenta sprzętu (załączyć dokument potwierdzający spełnianie wymogu)</w:t>
            </w:r>
          </w:p>
          <w:p w14:paraId="7D9C093B"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Deklaracja zgodności CE (załączyć do oferty)</w:t>
            </w:r>
          </w:p>
          <w:p w14:paraId="661B0D46"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Urządzenia wyprodukowane są przez producenta, zgodnie z normą PN-EN  ISO 50001</w:t>
            </w:r>
          </w:p>
          <w:p w14:paraId="36D9258D"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Certyfikat TCO, wymagana certyfikacja na stronie: </w:t>
            </w:r>
            <w:hyperlink r:id="rId7" w:history="1">
              <w:r w:rsidRPr="00E2183D">
                <w:rPr>
                  <w:rStyle w:val="Hipercze"/>
                  <w:rFonts w:asciiTheme="minorHAnsi" w:hAnsiTheme="minorHAnsi" w:cstheme="minorHAnsi"/>
                  <w:bCs/>
                  <w:sz w:val="20"/>
                  <w:szCs w:val="20"/>
                </w:rPr>
                <w:t>http://tcocertified.com/product-finder/</w:t>
              </w:r>
            </w:hyperlink>
            <w:r w:rsidRPr="00E2183D">
              <w:rPr>
                <w:rFonts w:asciiTheme="minorHAnsi" w:hAnsiTheme="minorHAnsi" w:cstheme="minorHAnsi"/>
                <w:bCs/>
                <w:sz w:val="20"/>
                <w:szCs w:val="20"/>
              </w:rPr>
              <w:t>– załączyć do oferty wydruk z strony</w:t>
            </w:r>
          </w:p>
          <w:p w14:paraId="43825403"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lastRenderedPageBreak/>
              <w:t xml:space="preserve">Potwierdzenie spełnienia kryteriów środowiskowych, w tym zgodności z dyrektywą </w:t>
            </w:r>
            <w:proofErr w:type="spellStart"/>
            <w:r w:rsidRPr="00E2183D">
              <w:rPr>
                <w:rFonts w:asciiTheme="minorHAnsi" w:hAnsiTheme="minorHAnsi" w:cstheme="minorHAnsi"/>
                <w:bCs/>
                <w:sz w:val="20"/>
                <w:szCs w:val="20"/>
              </w:rPr>
              <w:t>RoHS</w:t>
            </w:r>
            <w:proofErr w:type="spellEnd"/>
            <w:r w:rsidRPr="00E2183D">
              <w:rPr>
                <w:rFonts w:asciiTheme="minorHAnsi" w:hAnsiTheme="minorHAnsi" w:cstheme="minorHAns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28780E" w:rsidRPr="00E2183D" w14:paraId="719AEA4F" w14:textId="77777777" w:rsidTr="00DB219B">
        <w:tc>
          <w:tcPr>
            <w:tcW w:w="1650" w:type="dxa"/>
            <w:shd w:val="clear" w:color="auto" w:fill="auto"/>
          </w:tcPr>
          <w:p w14:paraId="4AA86E88" w14:textId="77777777" w:rsidR="0028780E" w:rsidRPr="006C48E0" w:rsidRDefault="0028780E"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lastRenderedPageBreak/>
              <w:t>Ergonomia</w:t>
            </w:r>
          </w:p>
        </w:tc>
        <w:tc>
          <w:tcPr>
            <w:tcW w:w="9266" w:type="dxa"/>
            <w:shd w:val="clear" w:color="auto" w:fill="auto"/>
          </w:tcPr>
          <w:p w14:paraId="3AA546D3" w14:textId="77777777" w:rsidR="0028780E" w:rsidRPr="00E2183D" w:rsidRDefault="0028780E" w:rsidP="00DB219B">
            <w:pPr>
              <w:spacing w:after="0" w:line="240" w:lineRule="auto"/>
              <w:jc w:val="both"/>
              <w:rPr>
                <w:rFonts w:asciiTheme="minorHAnsi" w:hAnsiTheme="minorHAnsi" w:cstheme="minorHAnsi"/>
                <w:bCs/>
                <w:color w:val="FF0000"/>
                <w:sz w:val="20"/>
                <w:szCs w:val="20"/>
              </w:rPr>
            </w:pPr>
            <w:r w:rsidRPr="00E2183D">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w:t>
            </w:r>
            <w:r w:rsidRPr="00117DFB">
              <w:rPr>
                <w:rFonts w:asciiTheme="minorHAnsi" w:hAnsiTheme="minorHAnsi" w:cstheme="minorHAnsi"/>
                <w:bCs/>
                <w:sz w:val="20"/>
                <w:szCs w:val="20"/>
              </w:rPr>
              <w:t xml:space="preserve">26dB </w:t>
            </w:r>
            <w:r w:rsidRPr="00E2183D">
              <w:rPr>
                <w:rFonts w:asciiTheme="minorHAnsi" w:hAnsiTheme="minorHAnsi" w:cstheme="minorHAnsi"/>
                <w:bCs/>
                <w:sz w:val="20"/>
                <w:szCs w:val="20"/>
              </w:rPr>
              <w:t>(załączyć oświadczenie producent</w:t>
            </w:r>
            <w:r>
              <w:rPr>
                <w:rFonts w:asciiTheme="minorHAnsi" w:hAnsiTheme="minorHAnsi" w:cstheme="minorHAnsi"/>
                <w:bCs/>
                <w:sz w:val="20"/>
                <w:szCs w:val="20"/>
              </w:rPr>
              <w:t>a</w:t>
            </w:r>
            <w:r w:rsidRPr="00E2183D">
              <w:rPr>
                <w:rFonts w:asciiTheme="minorHAnsi" w:hAnsiTheme="minorHAnsi" w:cstheme="minorHAnsi"/>
                <w:bCs/>
                <w:sz w:val="20"/>
                <w:szCs w:val="20"/>
              </w:rPr>
              <w:t>).</w:t>
            </w:r>
          </w:p>
        </w:tc>
      </w:tr>
      <w:tr w:rsidR="0028780E" w:rsidRPr="00E2183D" w14:paraId="224BADBB" w14:textId="77777777" w:rsidTr="00DB219B">
        <w:tc>
          <w:tcPr>
            <w:tcW w:w="1650" w:type="dxa"/>
            <w:shd w:val="clear" w:color="auto" w:fill="auto"/>
          </w:tcPr>
          <w:p w14:paraId="5F1BDAD9" w14:textId="77777777" w:rsidR="0028780E" w:rsidRPr="006C48E0" w:rsidRDefault="0028780E"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Wymagania dodatkowe</w:t>
            </w:r>
          </w:p>
        </w:tc>
        <w:tc>
          <w:tcPr>
            <w:tcW w:w="9266" w:type="dxa"/>
            <w:shd w:val="clear" w:color="auto" w:fill="auto"/>
          </w:tcPr>
          <w:p w14:paraId="4AA7A44D" w14:textId="77777777" w:rsidR="0028780E" w:rsidRDefault="0028780E"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 xml:space="preserve">Wymagane porty; porty video wlutowane i wyprowadzone bezpośrednio z płyty głównej:  1 x HDMI 1.4, 1 x </w:t>
            </w:r>
            <w:proofErr w:type="spellStart"/>
            <w:r w:rsidRPr="00117DFB">
              <w:rPr>
                <w:rFonts w:asciiTheme="minorHAnsi" w:hAnsiTheme="minorHAnsi" w:cstheme="minorHAnsi"/>
                <w:bCs/>
                <w:sz w:val="20"/>
                <w:szCs w:val="20"/>
              </w:rPr>
              <w:t>DisplayPort</w:t>
            </w:r>
            <w:proofErr w:type="spellEnd"/>
            <w:r w:rsidRPr="00117DFB">
              <w:rPr>
                <w:rFonts w:asciiTheme="minorHAnsi" w:hAnsiTheme="minorHAnsi" w:cstheme="minorHAnsi"/>
                <w:bCs/>
                <w:sz w:val="20"/>
                <w:szCs w:val="20"/>
              </w:rPr>
              <w:t xml:space="preserve"> 1.4a,  8 portów USB wyprowadzonych na zewnątrz obudowy, na panelu przednim 2 x USB 3.2 gen 1 Typu A oraz 2 x USB 2.0, na panelu tylnym  2 x USB 3.2 gen 1 Typu A oraz 2 x USB 2.0,</w:t>
            </w:r>
          </w:p>
          <w:p w14:paraId="1C570646" w14:textId="77777777" w:rsidR="0028780E"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Wymagana ilość i rozmieszczenie (na zewnątrz obudowy komputera) wszystkich</w:t>
            </w:r>
            <w:r>
              <w:rPr>
                <w:rFonts w:asciiTheme="minorHAnsi" w:hAnsiTheme="minorHAnsi" w:cstheme="minorHAnsi"/>
                <w:bCs/>
                <w:sz w:val="20"/>
                <w:szCs w:val="20"/>
              </w:rPr>
              <w:t xml:space="preserve"> </w:t>
            </w:r>
            <w:r w:rsidRPr="00E2183D">
              <w:rPr>
                <w:rFonts w:asciiTheme="minorHAnsi" w:hAnsiTheme="minorHAnsi" w:cstheme="minorHAnsi"/>
                <w:bCs/>
                <w:sz w:val="20"/>
                <w:szCs w:val="20"/>
              </w:rPr>
              <w:t xml:space="preserve">portów </w:t>
            </w:r>
            <w:r>
              <w:rPr>
                <w:rFonts w:asciiTheme="minorHAnsi" w:hAnsiTheme="minorHAnsi" w:cstheme="minorHAnsi"/>
                <w:bCs/>
                <w:sz w:val="20"/>
                <w:szCs w:val="20"/>
              </w:rPr>
              <w:t xml:space="preserve">USB </w:t>
            </w:r>
            <w:r w:rsidRPr="00E2183D">
              <w:rPr>
                <w:rFonts w:asciiTheme="minorHAnsi" w:hAnsiTheme="minorHAnsi" w:cstheme="minorHAnsi"/>
                <w:bCs/>
                <w:sz w:val="20"/>
                <w:szCs w:val="20"/>
              </w:rPr>
              <w:t xml:space="preserve">nie może być osiągnięta w wyniku stosowania konwerterów, przejściówek lub przewodów połączeniowych </w:t>
            </w:r>
            <w:proofErr w:type="spellStart"/>
            <w:r w:rsidRPr="00E2183D">
              <w:rPr>
                <w:rFonts w:asciiTheme="minorHAnsi" w:hAnsiTheme="minorHAnsi" w:cstheme="minorHAnsi"/>
                <w:bCs/>
                <w:sz w:val="20"/>
                <w:szCs w:val="20"/>
              </w:rPr>
              <w:t>itp</w:t>
            </w:r>
            <w:proofErr w:type="spellEnd"/>
            <w:r>
              <w:rPr>
                <w:rFonts w:asciiTheme="minorHAnsi" w:hAnsiTheme="minorHAnsi" w:cstheme="minorHAnsi"/>
                <w:bCs/>
                <w:sz w:val="20"/>
                <w:szCs w:val="20"/>
              </w:rPr>
              <w:t>, porty wyprowadzone bezpośrednio z płyty głównej</w:t>
            </w:r>
            <w:r w:rsidRPr="00E2183D">
              <w:rPr>
                <w:rFonts w:asciiTheme="minorHAnsi" w:hAnsiTheme="minorHAnsi" w:cstheme="minorHAnsi"/>
                <w:bCs/>
                <w:sz w:val="20"/>
                <w:szCs w:val="20"/>
              </w:rPr>
              <w:t>. Zainstalowane porty nie mogą blokować instalacji kart rozszerzeń w złączach wymaganych w opisie płyty głównej.</w:t>
            </w:r>
          </w:p>
          <w:p w14:paraId="51987F46" w14:textId="77777777" w:rsidR="0028780E" w:rsidRPr="00E2183D" w:rsidRDefault="0028780E"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 xml:space="preserve">Karta sieciowa 10/100/1000 zintegrowana z płytą główną, wspierająca obsługę </w:t>
            </w:r>
            <w:proofErr w:type="spellStart"/>
            <w:r w:rsidRPr="00117DFB">
              <w:rPr>
                <w:rFonts w:asciiTheme="minorHAnsi" w:hAnsiTheme="minorHAnsi" w:cstheme="minorHAnsi"/>
                <w:bCs/>
                <w:sz w:val="20"/>
                <w:szCs w:val="20"/>
              </w:rPr>
              <w:t>WoL</w:t>
            </w:r>
            <w:proofErr w:type="spellEnd"/>
            <w:r w:rsidRPr="00117DFB">
              <w:rPr>
                <w:rFonts w:asciiTheme="minorHAnsi" w:hAnsiTheme="minorHAnsi" w:cstheme="minorHAnsi"/>
                <w:bCs/>
                <w:sz w:val="20"/>
                <w:szCs w:val="20"/>
              </w:rPr>
              <w:t xml:space="preserve"> (funkcja włączana przez użytkownika)</w:t>
            </w:r>
            <w:r>
              <w:rPr>
                <w:rFonts w:asciiTheme="minorHAnsi" w:hAnsiTheme="minorHAnsi" w:cstheme="minorHAnsi"/>
                <w:bCs/>
                <w:sz w:val="20"/>
                <w:szCs w:val="20"/>
              </w:rPr>
              <w:t>.</w:t>
            </w:r>
          </w:p>
          <w:p w14:paraId="62578415" w14:textId="77777777" w:rsidR="0028780E" w:rsidRPr="00117DFB" w:rsidRDefault="0028780E"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117DFB">
              <w:rPr>
                <w:rFonts w:asciiTheme="minorHAnsi" w:hAnsiTheme="minorHAnsi" w:cstheme="minorHAnsi"/>
                <w:bCs/>
                <w:sz w:val="20"/>
                <w:szCs w:val="20"/>
              </w:rPr>
              <w:t>PCIe</w:t>
            </w:r>
            <w:proofErr w:type="spellEnd"/>
            <w:r w:rsidRPr="00117DFB">
              <w:rPr>
                <w:rFonts w:asciiTheme="minorHAnsi" w:hAnsiTheme="minorHAnsi" w:cstheme="minorHAnsi"/>
                <w:bCs/>
                <w:sz w:val="20"/>
                <w:szCs w:val="20"/>
              </w:rPr>
              <w:t xml:space="preserve"> x16 Gen.3, </w:t>
            </w:r>
            <w:r>
              <w:rPr>
                <w:rFonts w:asciiTheme="minorHAnsi" w:hAnsiTheme="minorHAnsi" w:cstheme="minorHAnsi"/>
                <w:bCs/>
                <w:sz w:val="20"/>
                <w:szCs w:val="20"/>
              </w:rPr>
              <w:t>2</w:t>
            </w:r>
            <w:r w:rsidRPr="00117DFB">
              <w:rPr>
                <w:rFonts w:asciiTheme="minorHAnsi" w:hAnsiTheme="minorHAnsi" w:cstheme="minorHAnsi"/>
                <w:bCs/>
                <w:sz w:val="20"/>
                <w:szCs w:val="20"/>
              </w:rPr>
              <w:t xml:space="preserve"> x </w:t>
            </w:r>
            <w:proofErr w:type="spellStart"/>
            <w:r w:rsidRPr="00117DFB">
              <w:rPr>
                <w:rFonts w:asciiTheme="minorHAnsi" w:hAnsiTheme="minorHAnsi" w:cstheme="minorHAnsi"/>
                <w:bCs/>
                <w:sz w:val="20"/>
                <w:szCs w:val="20"/>
              </w:rPr>
              <w:t>PCIe</w:t>
            </w:r>
            <w:proofErr w:type="spellEnd"/>
            <w:r w:rsidRPr="00117DFB">
              <w:rPr>
                <w:rFonts w:asciiTheme="minorHAnsi" w:hAnsiTheme="minorHAnsi" w:cstheme="minorHAnsi"/>
                <w:bCs/>
                <w:sz w:val="20"/>
                <w:szCs w:val="20"/>
              </w:rPr>
              <w:t xml:space="preserve"> x1, 2 x DIMM z obsługą do 64 GB DDR4 RAM, </w:t>
            </w:r>
            <w:r>
              <w:rPr>
                <w:rFonts w:asciiTheme="minorHAnsi" w:hAnsiTheme="minorHAnsi" w:cstheme="minorHAnsi"/>
                <w:bCs/>
                <w:sz w:val="20"/>
                <w:szCs w:val="20"/>
              </w:rPr>
              <w:t>3</w:t>
            </w:r>
            <w:r w:rsidRPr="00117DFB">
              <w:rPr>
                <w:rFonts w:asciiTheme="minorHAnsi" w:hAnsiTheme="minorHAnsi" w:cstheme="minorHAnsi"/>
                <w:bCs/>
                <w:sz w:val="20"/>
                <w:szCs w:val="20"/>
              </w:rPr>
              <w:t xml:space="preserve"> x SATA, Jedno złącze M.2 dla dysków oraz złącze M.2 bezprzewodowej karty sieciowej.</w:t>
            </w:r>
          </w:p>
          <w:p w14:paraId="527309CC"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Opakowanie musi być wykonane z materiałów podlegających powtórnemu przetworzeniu.</w:t>
            </w:r>
          </w:p>
        </w:tc>
      </w:tr>
      <w:tr w:rsidR="0028780E" w:rsidRPr="00E2183D" w14:paraId="525D0FA0" w14:textId="77777777" w:rsidTr="00DB219B">
        <w:tc>
          <w:tcPr>
            <w:tcW w:w="1650" w:type="dxa"/>
            <w:shd w:val="clear" w:color="auto" w:fill="auto"/>
          </w:tcPr>
          <w:p w14:paraId="4C549183" w14:textId="77777777" w:rsidR="0028780E" w:rsidRPr="006C48E0" w:rsidRDefault="0028780E"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Wsparcie techniczne producenta</w:t>
            </w:r>
          </w:p>
        </w:tc>
        <w:tc>
          <w:tcPr>
            <w:tcW w:w="9266" w:type="dxa"/>
            <w:shd w:val="clear" w:color="auto" w:fill="auto"/>
          </w:tcPr>
          <w:p w14:paraId="635F195E" w14:textId="77777777" w:rsidR="0028780E" w:rsidRPr="00E2183D" w:rsidRDefault="0028780E"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2183D">
              <w:rPr>
                <w:rFonts w:asciiTheme="minorHAnsi" w:hAnsiTheme="minorHAnsi" w:cstheme="minorHAnsi"/>
                <w:bCs/>
                <w:sz w:val="20"/>
                <w:szCs w:val="20"/>
              </w:rPr>
              <w:t>recovery</w:t>
            </w:r>
            <w:proofErr w:type="spellEnd"/>
            <w:r w:rsidRPr="00E2183D">
              <w:rPr>
                <w:rFonts w:asciiTheme="minorHAnsi" w:hAnsiTheme="minorHAnsi" w:cstheme="minorHAnsi"/>
                <w:bCs/>
                <w:sz w:val="20"/>
                <w:szCs w:val="20"/>
              </w:rPr>
              <w:t xml:space="preserve"> systemu operacyjnego).</w:t>
            </w:r>
          </w:p>
        </w:tc>
      </w:tr>
      <w:tr w:rsidR="0028780E" w:rsidRPr="00E2183D" w14:paraId="4DAD14C3" w14:textId="77777777" w:rsidTr="00DB219B">
        <w:tc>
          <w:tcPr>
            <w:tcW w:w="1650" w:type="dxa"/>
            <w:shd w:val="clear" w:color="auto" w:fill="auto"/>
          </w:tcPr>
          <w:p w14:paraId="572D5D37" w14:textId="77777777" w:rsidR="0028780E" w:rsidRPr="006C48E0" w:rsidRDefault="0028780E"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Warunki gwarancji</w:t>
            </w:r>
          </w:p>
        </w:tc>
        <w:tc>
          <w:tcPr>
            <w:tcW w:w="9266" w:type="dxa"/>
            <w:shd w:val="clear" w:color="auto" w:fill="auto"/>
          </w:tcPr>
          <w:p w14:paraId="025DFCFF" w14:textId="77777777" w:rsidR="0028780E" w:rsidRPr="00E2183D" w:rsidRDefault="0028780E"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Firma serwisująca musi posiadać ISO 9001:2008 na świadczenie usług serwisowych oraz posiadać autoryzacje producenta urządzeń – dokumenty potwierdzające należy załączyć do oferty.</w:t>
            </w:r>
          </w:p>
          <w:p w14:paraId="6ABF7955" w14:textId="77777777" w:rsidR="0028780E" w:rsidRPr="00117DFB" w:rsidRDefault="0028780E" w:rsidP="00DB219B">
            <w:p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Wymagane dołączenie do oferty oświadczenia Producenta potwierdzając, że Serwis urządzeń będzie realizowany bezpośrednio przez Producenta i/lub we współpracy z Autoryzowanym Partnerem Serwisowym Producenta.</w:t>
            </w:r>
          </w:p>
          <w:p w14:paraId="4E9EA2A6" w14:textId="77777777" w:rsidR="0028780E" w:rsidRDefault="0028780E" w:rsidP="00DB219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5</w:t>
            </w:r>
            <w:r w:rsidRPr="00117DFB">
              <w:rPr>
                <w:rFonts w:asciiTheme="minorHAnsi" w:hAnsiTheme="minorHAnsi" w:cstheme="minorHAnsi"/>
                <w:sz w:val="20"/>
                <w:szCs w:val="20"/>
              </w:rPr>
              <w:t>-letnia gwarancja producenta świadczona na miejscu u klienta</w:t>
            </w:r>
          </w:p>
          <w:p w14:paraId="36D292F2" w14:textId="77777777" w:rsidR="0028780E" w:rsidRDefault="0028780E" w:rsidP="00DB219B">
            <w:pPr>
              <w:spacing w:after="0" w:line="240" w:lineRule="auto"/>
              <w:jc w:val="both"/>
              <w:rPr>
                <w:rFonts w:asciiTheme="minorHAnsi" w:hAnsiTheme="minorHAnsi" w:cstheme="minorHAnsi"/>
                <w:sz w:val="20"/>
                <w:szCs w:val="20"/>
              </w:rPr>
            </w:pPr>
          </w:p>
          <w:p w14:paraId="475C232F" w14:textId="77777777" w:rsidR="0028780E" w:rsidRPr="00E2183D" w:rsidRDefault="0028780E"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Sposób realizacji usług wsparcia technicznego:</w:t>
            </w:r>
          </w:p>
          <w:p w14:paraId="34BE90AD" w14:textId="77777777" w:rsidR="0028780E" w:rsidRPr="00E2183D" w:rsidRDefault="0028780E" w:rsidP="0028780E">
            <w:pPr>
              <w:pStyle w:val="Akapitzlist"/>
              <w:numPr>
                <w:ilvl w:val="0"/>
                <w:numId w:val="1"/>
              </w:num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 xml:space="preserve">Telefoniczne zgłaszanie usterek w dni robocze w godzinach 8-17. </w:t>
            </w:r>
          </w:p>
          <w:p w14:paraId="0DC10515" w14:textId="77777777" w:rsidR="0028780E" w:rsidRPr="00E2183D" w:rsidRDefault="0028780E" w:rsidP="0028780E">
            <w:pPr>
              <w:pStyle w:val="Akapitzlist"/>
              <w:numPr>
                <w:ilvl w:val="0"/>
                <w:numId w:val="1"/>
              </w:num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Dedykowany bezpłatny portal online producenta do zgłaszania usterek i zarządzania zgłoszeniami serwisowymi.</w:t>
            </w:r>
          </w:p>
          <w:p w14:paraId="40ECAE00" w14:textId="77777777" w:rsidR="0028780E" w:rsidRPr="00E2183D" w:rsidRDefault="0028780E" w:rsidP="0028780E">
            <w:pPr>
              <w:pStyle w:val="Akapitzlist"/>
              <w:numPr>
                <w:ilvl w:val="0"/>
                <w:numId w:val="1"/>
              </w:num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Opcjonalna pomoc techniczna za pośrednictwem czat online.</w:t>
            </w:r>
          </w:p>
          <w:p w14:paraId="52DC18C1" w14:textId="77777777" w:rsidR="0028780E" w:rsidRPr="00E2183D" w:rsidRDefault="0028780E"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 xml:space="preserve">Wsparcie techniczne dla sprzętu będzie dostarczane zdalnie lub w miejscu instalacji urządzenia, w zależności od rodzaju zgłaszanej awarii. </w:t>
            </w:r>
          </w:p>
          <w:p w14:paraId="60AE8D63" w14:textId="77777777" w:rsidR="0028780E" w:rsidRPr="00E2183D" w:rsidRDefault="0028780E"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2372F0AC" w14:textId="77777777" w:rsidR="0028780E" w:rsidRPr="00E2183D" w:rsidRDefault="0028780E"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Możliwość sprawdzenia aktualnego okresu i poziomu wsparcia technicznego dla urządzeń za pośrednictwem strony internetowej producenta.</w:t>
            </w:r>
          </w:p>
          <w:p w14:paraId="0B87CAEF" w14:textId="77777777" w:rsidR="0028780E" w:rsidRDefault="0028780E" w:rsidP="00DB219B">
            <w:pPr>
              <w:spacing w:after="0" w:line="240" w:lineRule="auto"/>
              <w:jc w:val="both"/>
              <w:rPr>
                <w:rFonts w:asciiTheme="minorHAnsi" w:hAnsiTheme="minorHAnsi" w:cstheme="minorHAnsi"/>
                <w:b/>
                <w:color w:val="FF0000"/>
                <w:sz w:val="20"/>
                <w:szCs w:val="20"/>
              </w:rPr>
            </w:pPr>
            <w:r w:rsidRPr="00E2183D">
              <w:rPr>
                <w:rFonts w:asciiTheme="minorHAnsi" w:hAnsiTheme="minorHAnsi" w:cstheme="minorHAnsi"/>
                <w:sz w:val="20"/>
                <w:szCs w:val="20"/>
              </w:rPr>
              <w:t xml:space="preserve">Możliwość pobrania aktualnych wersji sterowników oraz </w:t>
            </w:r>
            <w:proofErr w:type="spellStart"/>
            <w:r w:rsidRPr="00E2183D">
              <w:rPr>
                <w:rFonts w:asciiTheme="minorHAnsi" w:hAnsiTheme="minorHAnsi" w:cstheme="minorHAnsi"/>
                <w:sz w:val="20"/>
                <w:szCs w:val="20"/>
              </w:rPr>
              <w:t>firmware</w:t>
            </w:r>
            <w:proofErr w:type="spellEnd"/>
            <w:r w:rsidRPr="00E2183D">
              <w:rPr>
                <w:rFonts w:asciiTheme="minorHAnsi" w:hAnsiTheme="minorHAnsi" w:cstheme="minorHAnsi"/>
                <w:sz w:val="20"/>
                <w:szCs w:val="20"/>
              </w:rPr>
              <w:t xml:space="preserve"> urządzenia za pośrednictwem strony internetowej producenta również dla urządzeń z nieaktywnym wsparciem technicznym.</w:t>
            </w:r>
            <w:r w:rsidRPr="00E2183D">
              <w:rPr>
                <w:rFonts w:asciiTheme="minorHAnsi" w:hAnsiTheme="minorHAnsi" w:cstheme="minorHAnsi"/>
                <w:b/>
                <w:color w:val="FF0000"/>
                <w:sz w:val="20"/>
                <w:szCs w:val="20"/>
              </w:rPr>
              <w:t xml:space="preserve"> </w:t>
            </w:r>
          </w:p>
          <w:p w14:paraId="7380DB22" w14:textId="77777777" w:rsidR="0028780E" w:rsidRPr="00E2183D" w:rsidRDefault="0028780E" w:rsidP="00DB219B">
            <w:pPr>
              <w:spacing w:after="0" w:line="240" w:lineRule="auto"/>
              <w:jc w:val="both"/>
              <w:rPr>
                <w:rFonts w:asciiTheme="minorHAnsi" w:hAnsiTheme="minorHAnsi" w:cstheme="minorHAnsi"/>
                <w:b/>
                <w:color w:val="FF0000"/>
                <w:sz w:val="20"/>
                <w:szCs w:val="20"/>
              </w:rPr>
            </w:pPr>
          </w:p>
          <w:p w14:paraId="31639CEA" w14:textId="77777777" w:rsidR="0028780E" w:rsidRPr="00E2183D" w:rsidRDefault="0028780E" w:rsidP="00DB219B">
            <w:pPr>
              <w:spacing w:line="240" w:lineRule="auto"/>
              <w:jc w:val="both"/>
              <w:rPr>
                <w:rFonts w:asciiTheme="minorHAnsi" w:hAnsiTheme="minorHAnsi" w:cstheme="minorHAnsi"/>
                <w:b/>
                <w:color w:val="FF0000"/>
                <w:sz w:val="20"/>
                <w:szCs w:val="20"/>
              </w:rPr>
            </w:pPr>
            <w:r w:rsidRPr="00E2183D">
              <w:rPr>
                <w:rFonts w:asciiTheme="minorHAnsi" w:hAnsiTheme="minorHAnsi" w:cstheme="minorHAnsi"/>
                <w:sz w:val="20"/>
                <w:szCs w:val="20"/>
              </w:rPr>
              <w:lastRenderedPageBreak/>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E2183D">
              <w:rPr>
                <w:rFonts w:asciiTheme="minorHAnsi" w:hAnsiTheme="minorHAnsi" w:cstheme="minorHAnsi"/>
                <w:b/>
                <w:color w:val="FF0000"/>
                <w:sz w:val="20"/>
                <w:szCs w:val="20"/>
              </w:rPr>
              <w:t xml:space="preserve"> </w:t>
            </w:r>
          </w:p>
          <w:p w14:paraId="558796B2" w14:textId="77777777" w:rsidR="0028780E" w:rsidRPr="00E2183D" w:rsidRDefault="0028780E" w:rsidP="00DB219B">
            <w:pPr>
              <w:spacing w:line="240" w:lineRule="auto"/>
              <w:jc w:val="both"/>
              <w:rPr>
                <w:rFonts w:asciiTheme="minorHAnsi" w:hAnsiTheme="minorHAnsi" w:cstheme="minorHAnsi"/>
                <w:sz w:val="20"/>
                <w:szCs w:val="20"/>
              </w:rPr>
            </w:pPr>
          </w:p>
        </w:tc>
      </w:tr>
    </w:tbl>
    <w:p w14:paraId="57F938F3" w14:textId="77777777" w:rsidR="00D71C76" w:rsidRDefault="00D71C76"/>
    <w:sectPr w:rsidR="00D71C7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10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5B"/>
    <w:rsid w:val="000A265B"/>
    <w:rsid w:val="0028780E"/>
    <w:rsid w:val="00CF2F96"/>
    <w:rsid w:val="00D7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B5B0D-91E3-45BC-B9D7-533A2C7A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780E"/>
    <w:rPr>
      <w:rFonts w:ascii="Calibri" w:eastAsia="Calibri" w:hAnsi="Calibri" w:cs="Times New Roman"/>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8780E"/>
    <w:rPr>
      <w:color w:val="0000FF"/>
      <w:u w:val="single"/>
    </w:rPr>
  </w:style>
  <w:style w:type="paragraph" w:styleId="Akapitzlist">
    <w:name w:val="List Paragraph"/>
    <w:basedOn w:val="Normalny"/>
    <w:uiPriority w:val="34"/>
    <w:qFormat/>
    <w:rsid w:val="00287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ocertified.com/product-f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ugloadsolutions.com/80pluspowersupplies.aspx" TargetMode="External"/><Relationship Id="rId5" Type="http://schemas.openxmlformats.org/officeDocument/2006/relationships/hyperlink" Target="http://www.cpubenchmark.net/cpu_lis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11450</Characters>
  <Application>Microsoft Office Word</Application>
  <DocSecurity>0</DocSecurity>
  <Lines>95</Lines>
  <Paragraphs>26</Paragraphs>
  <ScaleCrop>false</ScaleCrop>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dcterms:created xsi:type="dcterms:W3CDTF">2023-11-22T08:04:00Z</dcterms:created>
  <dcterms:modified xsi:type="dcterms:W3CDTF">2023-11-22T08:04:00Z</dcterms:modified>
</cp:coreProperties>
</file>