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1BB719CC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="00503DEB">
        <w:rPr>
          <w:rFonts w:ascii="Arial" w:hAnsi="Arial"/>
          <w:b/>
          <w:bCs/>
          <w:sz w:val="16"/>
          <w:szCs w:val="16"/>
          <w:u w:val="single"/>
        </w:rPr>
        <w:t>bez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 xml:space="preserve">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4EDAF483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7B32C2">
        <w:rPr>
          <w:rFonts w:ascii="Trebuchet MS" w:hAnsi="Trebuchet MS"/>
          <w:b/>
        </w:rPr>
        <w:t>13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3561C8BE" w14:textId="5AC4FAD0" w:rsidR="00F20AAA" w:rsidRDefault="007B32C2" w:rsidP="007B32C2">
      <w:pPr>
        <w:tabs>
          <w:tab w:val="center" w:pos="4607"/>
        </w:tabs>
        <w:ind w:right="28"/>
        <w:jc w:val="center"/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</w:pPr>
      <w:r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>„Odwodnienie parkingu na działkach gminnych przy ulicy Ordona w Wolbromiu”</w:t>
      </w:r>
    </w:p>
    <w:p w14:paraId="6E67D527" w14:textId="206930AF" w:rsidR="007B32C2" w:rsidRDefault="007B32C2" w:rsidP="007B32C2">
      <w:pPr>
        <w:tabs>
          <w:tab w:val="center" w:pos="4607"/>
        </w:tabs>
        <w:ind w:right="28"/>
        <w:jc w:val="center"/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</w:pPr>
    </w:p>
    <w:p w14:paraId="7E7D5FE5" w14:textId="77777777" w:rsidR="007B32C2" w:rsidRDefault="007B32C2" w:rsidP="007B32C2">
      <w:pPr>
        <w:tabs>
          <w:tab w:val="center" w:pos="4607"/>
        </w:tabs>
        <w:ind w:right="28"/>
        <w:jc w:val="center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0A3FE5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0A3FE5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0A3FE5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D5644E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65A95A59" w:rsidR="009A077A" w:rsidRPr="00D5644E" w:rsidRDefault="009D5D1E" w:rsidP="003C349F">
            <w:pPr>
              <w:ind w:right="28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2CFBF401" w:rsidR="009A077A" w:rsidRPr="00D5644E" w:rsidRDefault="009D5D1E" w:rsidP="009A077A">
            <w:pPr>
              <w:ind w:right="28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Specyfikacja techniczna wykonania i odbioru robót budowlanych</w:t>
            </w:r>
            <w:r w:rsidRPr="00D5644E">
              <w:rPr>
                <w:rFonts w:ascii="Trebuchet MS" w:hAnsi="Trebuchet MS" w:cs="Arial"/>
              </w:rPr>
              <w:br/>
            </w:r>
          </w:p>
        </w:tc>
      </w:tr>
      <w:tr w:rsidR="009D2E19" w:rsidRPr="0091720B" w14:paraId="146D829E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55C15227" w14:textId="2E1F45DA" w:rsidR="009D2E19" w:rsidRPr="00D5644E" w:rsidRDefault="009D2E19" w:rsidP="009D2E19">
            <w:pPr>
              <w:ind w:right="28"/>
              <w:jc w:val="center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747995EE" w14:textId="00C78016" w:rsidR="009D2E19" w:rsidRPr="00D5644E" w:rsidRDefault="009D2E19" w:rsidP="009D2E19">
            <w:pPr>
              <w:ind w:right="28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7779BDA6" w14:textId="00896ED7" w:rsidR="009D2E19" w:rsidRPr="00D5644E" w:rsidRDefault="009D2E19" w:rsidP="009D2E19">
            <w:pPr>
              <w:ind w:right="28"/>
              <w:jc w:val="both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Dokumentacja projektowa</w:t>
            </w:r>
          </w:p>
        </w:tc>
      </w:tr>
      <w:tr w:rsidR="009D2E19" w:rsidRPr="0091720B" w14:paraId="26648D2E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2A29E9AC" w14:textId="5BFA8808" w:rsidR="009D2E19" w:rsidRPr="00D5644E" w:rsidRDefault="00EA0C00" w:rsidP="009D2E19">
            <w:pPr>
              <w:ind w:right="28"/>
              <w:jc w:val="center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 xml:space="preserve">8. </w:t>
            </w:r>
          </w:p>
        </w:tc>
        <w:tc>
          <w:tcPr>
            <w:tcW w:w="1990" w:type="dxa"/>
          </w:tcPr>
          <w:p w14:paraId="24F62C90" w14:textId="2C91BAF0" w:rsidR="009D2E19" w:rsidRPr="00D5644E" w:rsidRDefault="00EA0C00" w:rsidP="009D2E19">
            <w:pPr>
              <w:ind w:right="28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 xml:space="preserve">Załącznik nr 8 </w:t>
            </w:r>
          </w:p>
        </w:tc>
        <w:tc>
          <w:tcPr>
            <w:tcW w:w="6786" w:type="dxa"/>
          </w:tcPr>
          <w:p w14:paraId="13184D92" w14:textId="688F3DC6" w:rsidR="009D2E19" w:rsidRPr="00D5644E" w:rsidRDefault="00EA0C00" w:rsidP="009D2E19">
            <w:pPr>
              <w:ind w:right="28"/>
              <w:jc w:val="both"/>
              <w:rPr>
                <w:rFonts w:ascii="Trebuchet MS" w:hAnsi="Trebuchet MS" w:cs="Arial"/>
              </w:rPr>
            </w:pPr>
            <w:r w:rsidRPr="00D5644E">
              <w:rPr>
                <w:rFonts w:ascii="Trebuchet MS" w:hAnsi="Trebuchet MS" w:cs="Arial"/>
              </w:rPr>
              <w:t>Przedmiar robót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24C4AEAB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9D5D1E">
        <w:rPr>
          <w:rFonts w:ascii="Trebuchet MS" w:hAnsi="Trebuchet MS" w:cs="Arial"/>
        </w:rPr>
        <w:t>Wolbrom</w:t>
      </w:r>
      <w:r w:rsidR="00997648" w:rsidRPr="009D5D1E">
        <w:rPr>
          <w:rFonts w:ascii="Trebuchet MS" w:hAnsi="Trebuchet MS" w:cs="Arial"/>
        </w:rPr>
        <w:t xml:space="preserve">, dnia </w:t>
      </w:r>
      <w:r w:rsidR="0056311D">
        <w:rPr>
          <w:rFonts w:ascii="Trebuchet MS" w:hAnsi="Trebuchet MS" w:cs="Arial"/>
        </w:rPr>
        <w:t>1</w:t>
      </w:r>
      <w:r w:rsidR="00826A33">
        <w:rPr>
          <w:rFonts w:ascii="Trebuchet MS" w:hAnsi="Trebuchet MS" w:cs="Arial"/>
        </w:rPr>
        <w:t>4</w:t>
      </w:r>
      <w:r w:rsidR="00196298" w:rsidRPr="009D5D1E">
        <w:rPr>
          <w:rFonts w:ascii="Trebuchet MS" w:hAnsi="Trebuchet MS" w:cs="Arial"/>
        </w:rPr>
        <w:t>.</w:t>
      </w:r>
      <w:r w:rsidR="00AB1C49" w:rsidRPr="009D5D1E">
        <w:rPr>
          <w:rFonts w:ascii="Trebuchet MS" w:hAnsi="Trebuchet MS" w:cs="Arial"/>
        </w:rPr>
        <w:t>0</w:t>
      </w:r>
      <w:r w:rsidR="007B32C2">
        <w:rPr>
          <w:rFonts w:ascii="Trebuchet MS" w:hAnsi="Trebuchet MS" w:cs="Arial"/>
        </w:rPr>
        <w:t>7</w:t>
      </w:r>
      <w:r w:rsidR="00196298" w:rsidRPr="009D5D1E">
        <w:rPr>
          <w:rFonts w:ascii="Trebuchet MS" w:hAnsi="Trebuchet MS" w:cs="Arial"/>
        </w:rPr>
        <w:t>.202</w:t>
      </w:r>
      <w:r w:rsidR="00AB1C49" w:rsidRPr="009D5D1E">
        <w:rPr>
          <w:rFonts w:ascii="Trebuchet MS" w:hAnsi="Trebuchet MS" w:cs="Arial"/>
        </w:rPr>
        <w:t>2</w:t>
      </w:r>
      <w:r w:rsidR="00196298" w:rsidRPr="009D5D1E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6CD5CE60" w14:textId="77777777" w:rsidR="00596442" w:rsidRDefault="00596442" w:rsidP="00596442">
      <w:pPr>
        <w:spacing w:line="360" w:lineRule="auto"/>
        <w:ind w:left="5664" w:right="28"/>
        <w:jc w:val="both"/>
        <w:rPr>
          <w:rFonts w:ascii="Trebuchet MS" w:hAnsi="Trebuchet MS" w:cs="Arial"/>
          <w:b/>
          <w:bCs/>
          <w:i/>
          <w:iCs/>
        </w:rPr>
      </w:pPr>
    </w:p>
    <w:p w14:paraId="43568231" w14:textId="597B3EAB" w:rsidR="00596442" w:rsidRPr="00596442" w:rsidRDefault="00596442" w:rsidP="00596442">
      <w:pPr>
        <w:spacing w:line="360" w:lineRule="auto"/>
        <w:ind w:left="5664" w:right="28"/>
        <w:jc w:val="both"/>
        <w:rPr>
          <w:rFonts w:ascii="Trebuchet MS" w:hAnsi="Trebuchet MS" w:cs="Arial"/>
          <w:b/>
          <w:bCs/>
          <w:i/>
          <w:iCs/>
        </w:rPr>
      </w:pPr>
      <w:r w:rsidRPr="00596442">
        <w:rPr>
          <w:rFonts w:ascii="Trebuchet MS" w:hAnsi="Trebuchet MS" w:cs="Arial"/>
          <w:b/>
          <w:bCs/>
          <w:i/>
          <w:iCs/>
        </w:rPr>
        <w:t xml:space="preserve">Agnieszka </w:t>
      </w:r>
      <w:proofErr w:type="spellStart"/>
      <w:r w:rsidRPr="00596442">
        <w:rPr>
          <w:rFonts w:ascii="Trebuchet MS" w:hAnsi="Trebuchet MS" w:cs="Arial"/>
          <w:b/>
          <w:bCs/>
          <w:i/>
          <w:iCs/>
        </w:rPr>
        <w:t>Gołembiowska</w:t>
      </w:r>
      <w:proofErr w:type="spellEnd"/>
      <w:r w:rsidRPr="00596442">
        <w:rPr>
          <w:rFonts w:ascii="Trebuchet MS" w:hAnsi="Trebuchet MS" w:cs="Arial"/>
          <w:b/>
          <w:bCs/>
          <w:i/>
          <w:iCs/>
        </w:rPr>
        <w:t xml:space="preserve"> - Karoń</w:t>
      </w:r>
      <w:r>
        <w:rPr>
          <w:rFonts w:ascii="Trebuchet MS" w:hAnsi="Trebuchet MS" w:cs="Arial"/>
          <w:b/>
          <w:bCs/>
          <w:i/>
          <w:iCs/>
        </w:rPr>
        <w:br/>
      </w:r>
      <w:r w:rsidRPr="00596442">
        <w:rPr>
          <w:rFonts w:ascii="Trebuchet MS" w:hAnsi="Trebuchet MS" w:cs="Arial"/>
          <w:b/>
          <w:bCs/>
          <w:i/>
          <w:iCs/>
        </w:rPr>
        <w:t>Z-ca Kierownika Urzędu Stanu Cywilnego</w:t>
      </w:r>
    </w:p>
    <w:p w14:paraId="517AC31C" w14:textId="03316997" w:rsidR="004A515E" w:rsidRPr="00454078" w:rsidRDefault="00596442" w:rsidP="00596442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 w:rsidRPr="00596442">
        <w:rPr>
          <w:rFonts w:ascii="Trebuchet MS" w:hAnsi="Trebuchet MS" w:cs="Arial"/>
          <w:b/>
          <w:bCs/>
          <w:i/>
          <w:iCs/>
        </w:rPr>
        <w:t xml:space="preserve">                                                                                   </w:t>
      </w:r>
      <w:r w:rsidR="004A515E">
        <w:rPr>
          <w:rFonts w:ascii="Trebuchet MS" w:hAnsi="Trebuchet MS" w:cs="Arial"/>
          <w:i/>
          <w:sz w:val="16"/>
          <w:szCs w:val="16"/>
        </w:rPr>
        <w:br/>
      </w:r>
      <w:r w:rsidR="004A515E"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6D9BF6A4" w14:textId="77777777" w:rsidR="004A515E" w:rsidRPr="00454078" w:rsidRDefault="004A515E" w:rsidP="004A515E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AE4851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AE4851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AE4851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AE4851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272600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272600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73C881A6" w:rsidR="00744AB1" w:rsidRPr="00744AB1" w:rsidRDefault="00272600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  <w:r w:rsidR="009743E6">
        <w:rPr>
          <w:rStyle w:val="Hipercze"/>
          <w:rFonts w:ascii="Trebuchet MS" w:hAnsi="Trebuchet MS"/>
          <w:b/>
          <w:bCs/>
          <w:color w:val="auto"/>
          <w:u w:val="none"/>
        </w:rPr>
        <w:t>,</w:t>
      </w:r>
    </w:p>
    <w:p w14:paraId="5B68E93D" w14:textId="361C3921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1" w:name="_Hlk96506833"/>
    <w:bookmarkStart w:id="2" w:name="_Hlk99097253"/>
    <w:p w14:paraId="62C8C012" w14:textId="1BA079D7" w:rsidR="00744AB1" w:rsidRPr="00DD1565" w:rsidRDefault="00744AB1" w:rsidP="00744AB1">
      <w:pPr>
        <w:spacing w:line="288" w:lineRule="auto"/>
        <w:ind w:left="1415" w:right="28" w:firstLine="708"/>
        <w:jc w:val="both"/>
        <w:rPr>
          <w:rStyle w:val="Hipercze"/>
        </w:rPr>
      </w:pPr>
      <w:r w:rsidRPr="0056311D">
        <w:rPr>
          <w:rStyle w:val="Hipercze"/>
          <w:rFonts w:ascii="Trebuchet MS" w:hAnsi="Trebuchet MS" w:cs="Arial"/>
        </w:rPr>
        <w:fldChar w:fldCharType="begin"/>
      </w:r>
      <w:r w:rsidRPr="0056311D">
        <w:rPr>
          <w:rStyle w:val="Hipercze"/>
          <w:rFonts w:ascii="Trebuchet MS" w:hAnsi="Trebuchet MS" w:cs="Arial"/>
        </w:rPr>
        <w:instrText xml:space="preserve"> HYPERLINK "https://platformazakupowa.pl/transakcja/577458" </w:instrText>
      </w:r>
      <w:r w:rsidRPr="0056311D">
        <w:rPr>
          <w:rStyle w:val="Hipercze"/>
          <w:rFonts w:ascii="Trebuchet MS" w:hAnsi="Trebuchet MS" w:cs="Arial"/>
        </w:rPr>
      </w:r>
      <w:r w:rsidRPr="0056311D">
        <w:rPr>
          <w:rStyle w:val="Hipercze"/>
          <w:rFonts w:ascii="Trebuchet MS" w:hAnsi="Trebuchet MS" w:cs="Arial"/>
        </w:rPr>
        <w:fldChar w:fldCharType="separate"/>
      </w:r>
      <w:r w:rsidRPr="0056311D">
        <w:rPr>
          <w:rStyle w:val="Hipercze"/>
          <w:rFonts w:ascii="Trebuchet MS" w:hAnsi="Trebuchet MS" w:cs="Arial"/>
        </w:rPr>
        <w:t>https://platformazakupowa.pl/transakcja/</w:t>
      </w:r>
      <w:bookmarkStart w:id="3" w:name="_Hlk108602196"/>
      <w:bookmarkEnd w:id="1"/>
      <w:r w:rsidR="0056311D" w:rsidRPr="0056311D">
        <w:rPr>
          <w:rStyle w:val="Hipercze"/>
          <w:rFonts w:ascii="Trebuchet MS" w:hAnsi="Trebuchet MS" w:cs="Arial"/>
        </w:rPr>
        <w:t>639023</w:t>
      </w:r>
      <w:bookmarkEnd w:id="3"/>
      <w:r w:rsidRPr="0056311D">
        <w:rPr>
          <w:rStyle w:val="Hipercze"/>
          <w:rFonts w:ascii="Trebuchet MS" w:hAnsi="Trebuchet MS" w:cs="Arial"/>
        </w:rPr>
        <w:fldChar w:fldCharType="end"/>
      </w:r>
    </w:p>
    <w:bookmarkEnd w:id="2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25ACB13D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491282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z </w:t>
      </w:r>
      <w:proofErr w:type="spellStart"/>
      <w:r w:rsidR="006A397A">
        <w:rPr>
          <w:rFonts w:ascii="Trebuchet MS" w:hAnsi="Trebuchet MS" w:cs="Arial"/>
        </w:rPr>
        <w:t>późn</w:t>
      </w:r>
      <w:proofErr w:type="spellEnd"/>
      <w:r w:rsidR="006A397A">
        <w:rPr>
          <w:rFonts w:ascii="Trebuchet MS" w:hAnsi="Trebuchet MS" w:cs="Arial"/>
        </w:rPr>
        <w:t>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34E5BDEB" w14:textId="5A657735" w:rsidR="002E63FB" w:rsidRDefault="00A64B53" w:rsidP="00A64B53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A64B53">
        <w:rPr>
          <w:rFonts w:ascii="Trebuchet MS" w:hAnsi="Trebuchet MS" w:cs="Arial"/>
        </w:rPr>
        <w:t xml:space="preserve">Zamawiający dokona wyboru oferty najkorzystniejszej </w:t>
      </w:r>
      <w:r w:rsidRPr="00A64B53">
        <w:rPr>
          <w:rFonts w:ascii="Trebuchet MS" w:hAnsi="Trebuchet MS" w:cs="Arial"/>
          <w:b/>
          <w:bCs/>
        </w:rPr>
        <w:t xml:space="preserve">bez przeprowadzenia negocjacji, </w:t>
      </w:r>
      <w:r>
        <w:rPr>
          <w:rFonts w:ascii="Trebuchet MS" w:hAnsi="Trebuchet MS" w:cs="Arial"/>
          <w:b/>
          <w:bCs/>
        </w:rPr>
        <w:br/>
      </w:r>
      <w:r w:rsidRPr="00A64B53">
        <w:rPr>
          <w:rFonts w:ascii="Trebuchet MS" w:hAnsi="Trebuchet MS" w:cs="Arial"/>
        </w:rPr>
        <w:t>co oznacza</w:t>
      </w:r>
      <w:r w:rsidRPr="00A64B53">
        <w:rPr>
          <w:rFonts w:ascii="Trebuchet MS" w:hAnsi="Trebuchet MS" w:cs="Arial"/>
          <w:b/>
          <w:bCs/>
        </w:rPr>
        <w:t xml:space="preserve"> tryb podstawowy, o którym mowa w art. 275 pkt 1 ustawy</w:t>
      </w:r>
      <w:r w:rsidRPr="00A64B53">
        <w:rPr>
          <w:rFonts w:ascii="Trebuchet MS" w:hAnsi="Trebuchet MS" w:cs="Arial"/>
        </w:rPr>
        <w:t>.</w:t>
      </w:r>
    </w:p>
    <w:p w14:paraId="29954AB9" w14:textId="77777777" w:rsidR="00A64B53" w:rsidRPr="00A64B53" w:rsidRDefault="00A64B53" w:rsidP="00A64B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20E07A87" w14:textId="25832AD6" w:rsidR="00E623CF" w:rsidRPr="006A397A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72D044FB" w14:textId="37ECA5A7" w:rsidR="00733CBB" w:rsidRDefault="00C06482" w:rsidP="00C56BD5">
      <w:pPr>
        <w:spacing w:line="276" w:lineRule="auto"/>
        <w:jc w:val="both"/>
        <w:rPr>
          <w:rFonts w:ascii="Trebuchet MS" w:hAnsi="Trebuchet MS" w:cs="Arial"/>
        </w:rPr>
      </w:pPr>
      <w:r w:rsidRPr="00C06482">
        <w:rPr>
          <w:rFonts w:ascii="Trebuchet MS" w:hAnsi="Trebuchet MS" w:cs="Arial"/>
        </w:rPr>
        <w:t xml:space="preserve">Przedmiotem zamówienia jest wykonanie </w:t>
      </w:r>
      <w:r w:rsidR="00674797">
        <w:rPr>
          <w:rFonts w:ascii="Trebuchet MS" w:hAnsi="Trebuchet MS" w:cs="Arial"/>
        </w:rPr>
        <w:t>odwodnienia parkingu na działkach gminnych przy ulicy Ordona w Wolbromiu.</w:t>
      </w:r>
    </w:p>
    <w:p w14:paraId="52E46FD3" w14:textId="77777777" w:rsidR="00C06482" w:rsidRDefault="00C06482" w:rsidP="00C56BD5">
      <w:pPr>
        <w:spacing w:line="276" w:lineRule="auto"/>
        <w:jc w:val="both"/>
        <w:rPr>
          <w:rFonts w:ascii="Trebuchet MS" w:hAnsi="Trebuchet MS" w:cs="Arial"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78A3BD26" w14:textId="17D5E034" w:rsidR="00AB02D4" w:rsidRPr="00596442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596442">
        <w:rPr>
          <w:rFonts w:ascii="Trebuchet MS" w:hAnsi="Trebuchet MS" w:cs="Arial"/>
        </w:rPr>
        <w:t>- specyfikacj</w:t>
      </w:r>
      <w:r w:rsidR="00A66EE5" w:rsidRPr="00596442">
        <w:rPr>
          <w:rFonts w:ascii="Trebuchet MS" w:hAnsi="Trebuchet MS" w:cs="Arial"/>
        </w:rPr>
        <w:t>a</w:t>
      </w:r>
      <w:r w:rsidRPr="00596442">
        <w:rPr>
          <w:rFonts w:ascii="Trebuchet MS" w:hAnsi="Trebuchet MS" w:cs="Arial"/>
        </w:rPr>
        <w:t xml:space="preserve"> techniczna wykonania i odbioru robót budowlanych -</w:t>
      </w:r>
      <w:r w:rsidRPr="00596442">
        <w:rPr>
          <w:rFonts w:ascii="Trebuchet MS" w:hAnsi="Trebuchet MS" w:cs="Arial"/>
          <w:b/>
        </w:rPr>
        <w:t xml:space="preserve"> załącznik nr </w:t>
      </w:r>
      <w:r w:rsidR="009D5D1E" w:rsidRPr="00596442">
        <w:rPr>
          <w:rFonts w:ascii="Trebuchet MS" w:hAnsi="Trebuchet MS" w:cs="Arial"/>
          <w:b/>
        </w:rPr>
        <w:t>6</w:t>
      </w:r>
      <w:r w:rsidR="003C349F" w:rsidRPr="00596442">
        <w:rPr>
          <w:rFonts w:ascii="Trebuchet MS" w:hAnsi="Trebuchet MS" w:cs="Arial"/>
          <w:b/>
        </w:rPr>
        <w:t>,</w:t>
      </w:r>
    </w:p>
    <w:p w14:paraId="3C9C54F0" w14:textId="0C9BB81C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596442">
        <w:rPr>
          <w:rFonts w:ascii="Trebuchet MS" w:hAnsi="Trebuchet MS" w:cs="Arial"/>
        </w:rPr>
        <w:t xml:space="preserve">- dokumentacja </w:t>
      </w:r>
      <w:r w:rsidR="009A7791" w:rsidRPr="00596442">
        <w:rPr>
          <w:rFonts w:ascii="Trebuchet MS" w:hAnsi="Trebuchet MS" w:cs="Arial"/>
        </w:rPr>
        <w:t>projektowa</w:t>
      </w:r>
      <w:r w:rsidRPr="00596442">
        <w:rPr>
          <w:rFonts w:ascii="Trebuchet MS" w:hAnsi="Trebuchet MS" w:cs="Arial"/>
        </w:rPr>
        <w:t xml:space="preserve"> -</w:t>
      </w:r>
      <w:r w:rsidRPr="00596442">
        <w:rPr>
          <w:rFonts w:ascii="Trebuchet MS" w:hAnsi="Trebuchet MS" w:cs="Arial"/>
          <w:b/>
        </w:rPr>
        <w:t xml:space="preserve"> załącznik nr </w:t>
      </w:r>
      <w:r w:rsidR="009D5D1E" w:rsidRPr="00596442">
        <w:rPr>
          <w:rFonts w:ascii="Trebuchet MS" w:hAnsi="Trebuchet MS" w:cs="Arial"/>
          <w:b/>
        </w:rPr>
        <w:t>7</w:t>
      </w:r>
      <w:r w:rsidR="003C349F" w:rsidRPr="00596442">
        <w:rPr>
          <w:rFonts w:ascii="Trebuchet MS" w:hAnsi="Trebuchet MS" w:cs="Arial"/>
          <w:b/>
        </w:rPr>
        <w:t>.</w:t>
      </w:r>
    </w:p>
    <w:p w14:paraId="4CF2C5BD" w14:textId="77777777" w:rsidR="00674797" w:rsidRDefault="00674797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lastRenderedPageBreak/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723DED38" w14:textId="3E4D382B" w:rsid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45000000-7  Roboty budowlane</w:t>
      </w:r>
    </w:p>
    <w:p w14:paraId="33709766" w14:textId="77777777" w:rsidR="00A66EE5" w:rsidRPr="00904562" w:rsidRDefault="00A66EE5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538410AF" w14:textId="14436200" w:rsid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45111200-0 Roboty w zakresie przygotowania terenu pod budowę i roboty ziemne</w:t>
      </w:r>
    </w:p>
    <w:p w14:paraId="7813435B" w14:textId="596C3BB9" w:rsidR="005225A0" w:rsidRDefault="005225A0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45231300-8 Roboty budowlane w zakresie budowy wodociągów i rurociągów do odprowadzania ścieków </w:t>
      </w:r>
    </w:p>
    <w:p w14:paraId="283C1814" w14:textId="50DBF891" w:rsidR="005225A0" w:rsidRDefault="005225A0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45232400-6 Roboty budowlane w zakresie kanałów ściekowych</w:t>
      </w:r>
    </w:p>
    <w:p w14:paraId="4D57D9D9" w14:textId="21DBC385" w:rsid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06E88DED" w14:textId="77777777" w:rsidR="005225A0" w:rsidRPr="00852EEF" w:rsidRDefault="005225A0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9F72C3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65973795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</w:t>
      </w:r>
      <w:r w:rsidR="00A66EE5" w:rsidRPr="00A66EE5">
        <w:t xml:space="preserve"> </w:t>
      </w:r>
      <w:r w:rsidR="00A66EE5" w:rsidRPr="00A66EE5">
        <w:rPr>
          <w:rFonts w:ascii="Trebuchet MS" w:hAnsi="Trebuchet MS" w:cs="Arial"/>
          <w:lang w:eastAsia="x-none"/>
        </w:rPr>
        <w:t>równoważnych</w:t>
      </w:r>
      <w:r w:rsidRPr="009F72C3">
        <w:rPr>
          <w:rFonts w:ascii="Trebuchet MS" w:hAnsi="Trebuchet MS" w:cs="Arial"/>
          <w:lang w:eastAsia="x-none"/>
        </w:rPr>
        <w:t xml:space="preserve"> 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>rozwiązania równoważne spełniają wymagania Zamawiającego opisane w przedmiocie zamówienia.</w:t>
      </w:r>
      <w:r w:rsidR="00A66EE5">
        <w:rPr>
          <w:rFonts w:ascii="Trebuchet MS" w:hAnsi="Trebuchet MS" w:cs="Arial"/>
          <w:lang w:eastAsia="x-none"/>
        </w:rPr>
        <w:t xml:space="preserve"> 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4929A6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929A6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79033653" w:rsidR="00E51C12" w:rsidRPr="004929A6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0B47F8A1" w14:textId="77777777" w:rsidR="004929A6" w:rsidRPr="008F05E7" w:rsidRDefault="004929A6" w:rsidP="004929A6">
      <w:pPr>
        <w:spacing w:line="276" w:lineRule="auto"/>
        <w:ind w:left="426" w:right="28"/>
        <w:jc w:val="both"/>
        <w:rPr>
          <w:rFonts w:ascii="Arial" w:hAnsi="Arial" w:cs="Arial"/>
        </w:rPr>
      </w:pP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4CC7DEF8" w14:textId="77777777" w:rsidR="004929A6" w:rsidRPr="004929A6" w:rsidRDefault="004929A6" w:rsidP="004929A6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4929A6">
        <w:rPr>
          <w:rFonts w:ascii="Trebuchet MS" w:eastAsia="Tahoma" w:hAnsi="Trebuchet MS" w:cs="Trebuchet MS"/>
        </w:rPr>
        <w:t>Zamawiający odstąpił od podziału przedmiotowego zamówienia na części, mając na względzie zapisy artykułu (78) Dyrektywy Parlamentu Europejskiego i Rady 2014/24/UE z dnia 26 lutego 2014 r. w sprawie zamówień publicznych, uchylająca dyrektywę 2004/18/WE.</w:t>
      </w:r>
    </w:p>
    <w:p w14:paraId="2AC1BAF1" w14:textId="77777777" w:rsidR="004929A6" w:rsidRPr="004929A6" w:rsidRDefault="004929A6" w:rsidP="004929A6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4929A6"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6022CABF" w14:textId="652D8A23" w:rsidR="0019483D" w:rsidRDefault="004929A6" w:rsidP="004929A6">
      <w:pPr>
        <w:spacing w:line="276" w:lineRule="auto"/>
        <w:ind w:left="426" w:right="28"/>
        <w:jc w:val="both"/>
        <w:rPr>
          <w:rFonts w:ascii="Trebuchet MS" w:hAnsi="Trebuchet MS" w:cs="Arial"/>
          <w:b/>
        </w:rPr>
      </w:pPr>
      <w:r w:rsidRPr="004929A6"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556C4CF9" w14:textId="77777777" w:rsidR="009D5D1E" w:rsidRDefault="009D5D1E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229970F3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738EE86D" w14:textId="4FADD0B7" w:rsidR="005225A0" w:rsidRDefault="005225A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A2CE827" w14:textId="07D2FAAF" w:rsidR="00074F93" w:rsidRDefault="00074F9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3E7CF3C" w14:textId="77777777" w:rsidR="00074F93" w:rsidRDefault="00074F9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318B4369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D136E5">
        <w:rPr>
          <w:rFonts w:ascii="Trebuchet MS" w:hAnsi="Trebuchet MS" w:cs="Arial"/>
          <w:b/>
        </w:rPr>
        <w:t>do</w:t>
      </w:r>
      <w:r w:rsidR="00AF76B8" w:rsidRPr="00D136E5">
        <w:rPr>
          <w:rFonts w:ascii="Trebuchet MS" w:hAnsi="Trebuchet MS" w:cs="Arial"/>
          <w:b/>
        </w:rPr>
        <w:t xml:space="preserve"> </w:t>
      </w:r>
      <w:r w:rsidR="005225A0">
        <w:rPr>
          <w:rFonts w:ascii="Trebuchet MS" w:hAnsi="Trebuchet MS" w:cs="Arial"/>
          <w:b/>
        </w:rPr>
        <w:t>120</w:t>
      </w:r>
      <w:r w:rsidR="00733CBB" w:rsidRPr="00D136E5">
        <w:rPr>
          <w:rFonts w:ascii="Trebuchet MS" w:hAnsi="Trebuchet MS" w:cs="Arial"/>
          <w:b/>
        </w:rPr>
        <w:t xml:space="preserve"> dni od dnia zawarcia umowy</w:t>
      </w:r>
      <w:r w:rsidR="00641013" w:rsidRPr="00D136E5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7CF223C0" w:rsidR="00F12CE0" w:rsidRPr="00AF76B8" w:rsidRDefault="00AF76B8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>Podana cena ofertowa musi zawierać wszystkie koszty związane z realizacją zamówienia, wyn</w:t>
      </w:r>
      <w:r w:rsidRPr="000117B9">
        <w:rPr>
          <w:rFonts w:ascii="Trebuchet MS" w:hAnsi="Trebuchet MS" w:cs="Arial"/>
        </w:rPr>
        <w:t xml:space="preserve">ikające z opisu </w:t>
      </w:r>
      <w:r w:rsidRPr="00596442">
        <w:rPr>
          <w:rFonts w:ascii="Trebuchet MS" w:hAnsi="Trebuchet MS" w:cs="Arial"/>
        </w:rPr>
        <w:t>przedmiotu zamówienia (</w:t>
      </w:r>
      <w:r w:rsidRPr="00596442">
        <w:rPr>
          <w:rFonts w:ascii="Trebuchet MS" w:hAnsi="Trebuchet MS" w:cs="Arial"/>
          <w:b/>
          <w:bCs/>
        </w:rPr>
        <w:t>załącznik nr 4 do SWZ</w:t>
      </w:r>
      <w:r w:rsidRPr="00596442">
        <w:rPr>
          <w:rFonts w:ascii="Trebuchet MS" w:hAnsi="Trebuchet MS" w:cs="Arial"/>
        </w:rPr>
        <w:t xml:space="preserve">), </w:t>
      </w:r>
      <w:r w:rsidR="00826A33" w:rsidRPr="00596442">
        <w:rPr>
          <w:rFonts w:ascii="Trebuchet MS" w:hAnsi="Trebuchet MS" w:cs="Arial"/>
        </w:rPr>
        <w:t xml:space="preserve">załączonych przedmiarów robót </w:t>
      </w:r>
      <w:r w:rsidR="00826A33" w:rsidRPr="00596442">
        <w:rPr>
          <w:rFonts w:ascii="Trebuchet MS" w:hAnsi="Trebuchet MS" w:cs="Arial"/>
          <w:b/>
          <w:bCs/>
        </w:rPr>
        <w:t>pełniących wyłącznie funkcję pomocniczą</w:t>
      </w:r>
      <w:r w:rsidR="00826A33" w:rsidRPr="00596442">
        <w:rPr>
          <w:rFonts w:ascii="Trebuchet MS" w:hAnsi="Trebuchet MS" w:cs="Arial"/>
        </w:rPr>
        <w:t xml:space="preserve">, </w:t>
      </w:r>
      <w:r w:rsidRPr="00596442">
        <w:rPr>
          <w:rFonts w:ascii="Trebuchet MS" w:hAnsi="Trebuchet MS" w:cs="Arial"/>
        </w:rPr>
        <w:t>specyfikacji techniczn</w:t>
      </w:r>
      <w:r w:rsidR="00A74C9F" w:rsidRPr="00596442">
        <w:rPr>
          <w:rFonts w:ascii="Trebuchet MS" w:hAnsi="Trebuchet MS" w:cs="Arial"/>
        </w:rPr>
        <w:t>ych</w:t>
      </w:r>
      <w:r w:rsidRPr="00596442">
        <w:rPr>
          <w:rFonts w:ascii="Trebuchet MS" w:hAnsi="Trebuchet MS" w:cs="Arial"/>
        </w:rPr>
        <w:t xml:space="preserve"> wykonania odbioru robót oraz dokumentacji projektowej</w:t>
      </w:r>
      <w:r w:rsidR="00F12CE0" w:rsidRPr="00596442">
        <w:rPr>
          <w:rFonts w:ascii="Trebuchet MS" w:hAnsi="Trebuchet MS" w:cs="Arial"/>
        </w:rPr>
        <w:t>,</w:t>
      </w:r>
      <w:r w:rsidR="00F12CE0" w:rsidRPr="00596442">
        <w:t xml:space="preserve"> </w:t>
      </w:r>
      <w:r w:rsidR="00F12CE0" w:rsidRPr="00596442">
        <w:rPr>
          <w:rFonts w:ascii="Trebuchet MS" w:hAnsi="Trebuchet MS" w:cs="Arial"/>
        </w:rPr>
        <w:t>jak</w:t>
      </w:r>
      <w:r w:rsidR="00F12CE0" w:rsidRPr="00A74C9F">
        <w:rPr>
          <w:rFonts w:ascii="Trebuchet MS" w:hAnsi="Trebuchet MS" w:cs="Arial"/>
        </w:rPr>
        <w:t xml:space="preserve">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>z powodu wad w/w dokumentacji spowodowanych jej niezgodnością z zasadami wiedzy technicznej lub stanem faktycznym, a bez których nie można wykonać przedmiotu umowy</w:t>
      </w:r>
      <w:r w:rsidR="00F12CE0">
        <w:rPr>
          <w:rFonts w:ascii="Trebuchet MS" w:hAnsi="Trebuchet MS" w:cs="Arial"/>
        </w:rPr>
        <w:t xml:space="preserve">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w projektowanych postanowieniach umowy w sprawie zamówienia, które zostaną wprowadzone </w:t>
      </w:r>
      <w:r w:rsidR="00F12CE0" w:rsidRPr="000117B9">
        <w:rPr>
          <w:rFonts w:ascii="Trebuchet MS" w:hAnsi="Trebuchet MS" w:cs="Arial"/>
        </w:rPr>
        <w:t>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lastRenderedPageBreak/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0117B9">
        <w:rPr>
          <w:rFonts w:ascii="Trebuchet MS" w:hAnsi="Trebuchet MS" w:cs="Arial"/>
          <w:b/>
          <w:bCs/>
        </w:rPr>
        <w:t xml:space="preserve">(Z uwagi na ryczałtowy charakter wynagrodzenia w cenie oferty należy uwzględnić </w:t>
      </w:r>
      <w:r w:rsidRPr="000117B9">
        <w:rPr>
          <w:rFonts w:ascii="Trebuchet MS" w:hAnsi="Trebuchet MS" w:cs="Arial"/>
          <w:b/>
          <w:bCs/>
        </w:rPr>
        <w:br/>
        <w:t xml:space="preserve">i wycenić wszelakie elementy materialne i niematerialne (w tym niewymienione przez </w:t>
      </w:r>
      <w:r w:rsidRPr="00E25B7A">
        <w:rPr>
          <w:rFonts w:ascii="Trebuchet MS" w:hAnsi="Trebuchet MS" w:cs="Arial"/>
          <w:b/>
          <w:bCs/>
        </w:rPr>
        <w:t>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942D00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2FB0">
        <w:rPr>
          <w:rFonts w:ascii="Trebuchet MS" w:hAnsi="Trebuchet MS" w:cs="Arial"/>
        </w:rPr>
        <w:t>Z zastrzeżeniem postanowień zawartych w rozdziale XVI SWZ oraz w ust. 2 i w ust. 4 niniejszego</w:t>
      </w:r>
      <w:r>
        <w:rPr>
          <w:rFonts w:ascii="Trebuchet MS" w:hAnsi="Trebuchet MS" w:cs="Arial"/>
        </w:rPr>
        <w:t xml:space="preserve"> rozdziału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>
        <w:rPr>
          <w:rFonts w:ascii="Trebuchet MS" w:hAnsi="Trebuchet MS" w:cs="Arial"/>
        </w:rPr>
        <w:t xml:space="preserve">może się odbywać wyłącznie </w:t>
      </w:r>
      <w:r w:rsidRPr="00ED5260">
        <w:rPr>
          <w:rFonts w:ascii="Trebuchet MS" w:hAnsi="Trebuchet MS" w:cs="Arial"/>
        </w:rPr>
        <w:t>przy użyciu środk</w:t>
      </w:r>
      <w:r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>
        <w:rPr>
          <w:rFonts w:ascii="Trebuchet MS" w:hAnsi="Trebuchet MS" w:cs="Arial"/>
        </w:rPr>
        <w:t>z dnia 18 lipca 2002 r. o </w:t>
      </w:r>
      <w:r w:rsidRPr="00ED5260">
        <w:rPr>
          <w:rFonts w:ascii="Trebuchet MS" w:hAnsi="Trebuchet MS" w:cs="Arial"/>
        </w:rPr>
        <w:t>świadczeniu usług drogą elektroniczną (Dz.</w:t>
      </w:r>
      <w:r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 xml:space="preserve">344), </w:t>
      </w:r>
      <w:proofErr w:type="spellStart"/>
      <w:r>
        <w:rPr>
          <w:rFonts w:ascii="Trebuchet MS" w:hAnsi="Trebuchet MS" w:cs="Arial"/>
        </w:rPr>
        <w:t>tj</w:t>
      </w:r>
      <w:proofErr w:type="spellEnd"/>
      <w:r>
        <w:rPr>
          <w:rFonts w:ascii="Trebuchet MS" w:hAnsi="Trebuchet MS" w:cs="Arial"/>
        </w:rPr>
        <w:t>:</w:t>
      </w:r>
    </w:p>
    <w:p w14:paraId="287F2766" w14:textId="77777777" w:rsidR="00023579" w:rsidRPr="00777231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p w14:paraId="31173851" w14:textId="208376AB" w:rsidR="00023579" w:rsidRPr="00E50BC1" w:rsidRDefault="00272600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hyperlink r:id="rId12" w:history="1">
        <w:r w:rsidR="00942D00" w:rsidRPr="00074F93">
          <w:rPr>
            <w:rStyle w:val="Hipercze"/>
            <w:rFonts w:ascii="Trebuchet MS" w:hAnsi="Trebuchet MS" w:cs="Arial"/>
          </w:rPr>
          <w:t>https://platformazakupowa.pl/transakcja/</w:t>
        </w:r>
        <w:r w:rsidR="00074F93" w:rsidRPr="00074F93">
          <w:rPr>
            <w:rStyle w:val="Hipercze"/>
            <w:rFonts w:ascii="Trebuchet MS" w:hAnsi="Trebuchet MS" w:cs="Arial"/>
          </w:rPr>
          <w:t>639023</w:t>
        </w:r>
      </w:hyperlink>
      <w:r w:rsidR="00942D00" w:rsidRPr="00942D00">
        <w:rPr>
          <w:rStyle w:val="Hipercze"/>
          <w:rFonts w:ascii="Trebuchet MS" w:hAnsi="Trebuchet MS" w:cs="Arial"/>
          <w:u w:val="none"/>
        </w:rPr>
        <w:t xml:space="preserve"> </w:t>
      </w:r>
      <w:r w:rsidR="00023579" w:rsidRPr="00942FB0">
        <w:rPr>
          <w:rFonts w:ascii="Trebuchet MS" w:hAnsi="Trebuchet MS" w:cs="Arial"/>
        </w:rPr>
        <w:t>(zwanej dalej zamiennie Platformą przetargową)</w:t>
      </w:r>
      <w:r w:rsidR="00E22386">
        <w:rPr>
          <w:rFonts w:ascii="Trebuchet MS" w:hAnsi="Trebuchet MS" w:cs="Arial"/>
        </w:rPr>
        <w:t xml:space="preserve"> </w:t>
      </w:r>
    </w:p>
    <w:p w14:paraId="62D8411B" w14:textId="77777777" w:rsidR="00023579" w:rsidRPr="00777231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1D46A62B" w14:textId="722C5550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3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="00A05622">
        <w:rPr>
          <w:rFonts w:ascii="Trebuchet MS" w:hAnsi="Trebuchet MS" w:cs="Arial"/>
        </w:rPr>
        <w:t xml:space="preserve"> </w:t>
      </w:r>
      <w:r w:rsidR="00A05622" w:rsidRPr="00A05622">
        <w:rPr>
          <w:rFonts w:ascii="Trebuchet MS" w:hAnsi="Trebuchet MS" w:cs="Arial"/>
        </w:rPr>
        <w:t>lub innych dokumentach przekazanych Zamawiającemu</w:t>
      </w:r>
      <w:r>
        <w:rPr>
          <w:rFonts w:ascii="Trebuchet MS" w:hAnsi="Trebuchet MS" w:cs="Arial"/>
        </w:rPr>
        <w:t xml:space="preserve">. </w:t>
      </w:r>
    </w:p>
    <w:p w14:paraId="225DFC43" w14:textId="77777777" w:rsidR="00A05622" w:rsidRDefault="00A05622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642E5D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42E5D">
        <w:rPr>
          <w:rFonts w:ascii="Trebuchet MS" w:hAnsi="Trebuchet MS" w:cs="Arial"/>
          <w:b/>
        </w:rPr>
        <w:t>Ofertę składa się pod rygorem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20002A1C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B64897">
        <w:rPr>
          <w:rFonts w:ascii="Trebuchet MS" w:hAnsi="Trebuchet MS" w:cs="Arial"/>
          <w:b/>
        </w:rPr>
        <w:lastRenderedPageBreak/>
        <w:t>Ilekroć w niniejszej SWZ jest mowa o ofercie, należy przez to rozumieć również ofertę dodatkową, o której mowa w rozdz.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1FFAF6CF" w:rsidR="00023579" w:rsidRPr="00A716B8" w:rsidRDefault="00A716B8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716B8">
        <w:rPr>
          <w:rFonts w:ascii="Trebuchet MS" w:hAnsi="Trebuchet MS" w:cs="Arial"/>
        </w:rPr>
        <w:t>Komunikacja ustna dopuszczalna jest wyłącznie w odniesieniu do informacji, które nie są istotne, w szczególności nie dotyczą ogłoszenia o zamówieniu lub dokumentów zamówienia, ofert, o ile jej treść jest udokumentowana (wymagana jest pisemna notatka z ustnej rozmowy).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BD49B0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49B0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BD49B0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BD49B0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4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4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5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5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 xml:space="preserve">, przedmiotowe środki dowodowe, pełnomocnictwo, sporządza się w postaci elektronicznej, w formatach danych określonych w przepisach wydanych </w:t>
      </w:r>
      <w:r w:rsidRPr="002E2D32">
        <w:rPr>
          <w:rFonts w:ascii="Trebuchet MS" w:hAnsi="Trebuchet MS"/>
        </w:rPr>
        <w:lastRenderedPageBreak/>
        <w:t>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2070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6A5A90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A5A90">
        <w:rPr>
          <w:rFonts w:ascii="Trebuchet MS" w:hAnsi="Trebuchet MS"/>
        </w:rPr>
        <w:t>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77777777" w:rsidR="00023579" w:rsidRPr="005832A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2020 r. poz. 1913</w:t>
      </w:r>
      <w:r w:rsidRPr="00B67793">
        <w:t xml:space="preserve"> </w:t>
      </w:r>
      <w:r w:rsidRPr="00B67793">
        <w:rPr>
          <w:rFonts w:ascii="Trebuchet MS" w:hAnsi="Trebuchet MS"/>
        </w:rPr>
        <w:t xml:space="preserve">z </w:t>
      </w:r>
      <w:proofErr w:type="spellStart"/>
      <w:r w:rsidRPr="00B67793">
        <w:rPr>
          <w:rFonts w:ascii="Trebuchet MS" w:hAnsi="Trebuchet MS"/>
        </w:rPr>
        <w:t>późn</w:t>
      </w:r>
      <w:proofErr w:type="spellEnd"/>
      <w:r w:rsidRPr="00B67793">
        <w:rPr>
          <w:rFonts w:ascii="Trebuchet MS" w:hAnsi="Trebuchet MS"/>
        </w:rPr>
        <w:t>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lastRenderedPageBreak/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 xml:space="preserve"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</w:t>
      </w:r>
      <w:r w:rsidRPr="002F0F26">
        <w:rPr>
          <w:rFonts w:ascii="Trebuchet MS" w:hAnsi="Trebuchet MS"/>
        </w:rPr>
        <w:lastRenderedPageBreak/>
        <w:t>informacji w postaci elektronicznej oraz minimalnych wymagań dla systemów teleinformatycznych z zastrzeżeniem, iż Zamawiający dopuszcza także przysyłanie dokumentów elektronicznych (w tym oferty) skompresowanych formatem .</w:t>
      </w:r>
      <w:proofErr w:type="spellStart"/>
      <w:r w:rsidRPr="002F0F26">
        <w:rPr>
          <w:rFonts w:ascii="Trebuchet MS" w:hAnsi="Trebuchet MS"/>
        </w:rPr>
        <w:t>rar</w:t>
      </w:r>
      <w:proofErr w:type="spellEnd"/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023579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 xml:space="preserve"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</w:t>
      </w:r>
      <w:r w:rsidRPr="00A716B8">
        <w:rPr>
          <w:rFonts w:ascii="Trebuchet MS" w:hAnsi="Trebuchet MS"/>
          <w:color w:val="000000" w:themeColor="text1"/>
        </w:rPr>
        <w:t>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698268A8" w14:textId="4AF5F1F0" w:rsidR="00A716B8" w:rsidRDefault="00A716B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584F5628" w14:textId="77777777" w:rsidR="00A716B8" w:rsidRPr="002132E9" w:rsidRDefault="00A716B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418F8138" w:rsidR="006E67D3" w:rsidRDefault="006E67D3" w:rsidP="00E60D53">
      <w:pPr>
        <w:pStyle w:val="Tekstpodstawowy"/>
        <w:spacing w:line="276" w:lineRule="auto"/>
        <w:rPr>
          <w:rFonts w:ascii="Trebuchet MS" w:hAnsi="Trebuchet MS" w:cs="Arial"/>
          <w:color w:val="000000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395D18B6" w14:textId="4EC04CAB" w:rsidR="00D5253D" w:rsidRDefault="00D5253D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424A13CA" w14:textId="2EE5F3CA" w:rsidR="00DE5A38" w:rsidRDefault="00DE5A3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46C66A31" w14:textId="77777777" w:rsidR="00DE5A38" w:rsidRPr="00D706A3" w:rsidRDefault="00DE5A3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224CE4C1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</w:t>
      </w:r>
      <w:r w:rsidR="00CB2CD5">
        <w:rPr>
          <w:rFonts w:ascii="Trebuchet MS" w:hAnsi="Trebuchet MS" w:cs="Arial"/>
        </w:rPr>
        <w:t xml:space="preserve">Wykonawcy </w:t>
      </w:r>
      <w:r>
        <w:rPr>
          <w:rFonts w:ascii="Trebuchet MS" w:hAnsi="Trebuchet MS" w:cs="Arial"/>
        </w:rPr>
        <w:t>oraz spełniania</w:t>
      </w:r>
      <w:r w:rsidR="00CB2CD5">
        <w:rPr>
          <w:rFonts w:ascii="Trebuchet MS" w:hAnsi="Trebuchet MS" w:cs="Arial"/>
        </w:rPr>
        <w:t xml:space="preserve"> przez niego</w:t>
      </w:r>
      <w:r>
        <w:rPr>
          <w:rFonts w:ascii="Trebuchet MS" w:hAnsi="Trebuchet MS" w:cs="Arial"/>
        </w:rPr>
        <w:t xml:space="preserve">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07919BF3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</w:t>
      </w:r>
      <w:bookmarkStart w:id="6" w:name="_Hlk100822318"/>
      <w:r>
        <w:rPr>
          <w:rFonts w:ascii="Trebuchet MS" w:hAnsi="Trebuchet MS" w:cs="Arial"/>
          <w:sz w:val="20"/>
        </w:rPr>
        <w:t xml:space="preserve">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>do SWZ</w:t>
      </w:r>
      <w:bookmarkEnd w:id="6"/>
      <w:r>
        <w:rPr>
          <w:rFonts w:ascii="Trebuchet MS" w:hAnsi="Trebuchet MS" w:cs="Arial"/>
          <w:sz w:val="20"/>
        </w:rPr>
        <w:t xml:space="preserve">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EF0AFA">
        <w:rPr>
          <w:rFonts w:ascii="Trebuchet MS" w:hAnsi="Trebuchet MS" w:cs="Arial"/>
          <w:sz w:val="20"/>
        </w:rPr>
        <w:t xml:space="preserve"> </w:t>
      </w:r>
      <w:r w:rsidR="00EF0AFA" w:rsidRPr="00EF0AFA">
        <w:rPr>
          <w:rFonts w:ascii="Trebuchet MS" w:hAnsi="Trebuchet MS" w:cs="Arial"/>
          <w:sz w:val="20"/>
        </w:rPr>
        <w:t>oraz Wyceniony Wykaz Elementów Rozliczeniowych stanowiący załącznik nr 1 do Formularza oferty podpisany w taki sam sposób.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5F98135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</w:t>
      </w:r>
      <w:r>
        <w:rPr>
          <w:rFonts w:ascii="Trebuchet MS" w:hAnsi="Trebuchet MS" w:cs="Arial"/>
          <w:sz w:val="20"/>
        </w:rPr>
        <w:lastRenderedPageBreak/>
        <w:t>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174A137D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  <w:r w:rsidR="00854C5B">
        <w:rPr>
          <w:rFonts w:ascii="Trebuchet MS" w:hAnsi="Trebuchet MS" w:cs="Arial"/>
          <w:bCs/>
          <w:sz w:val="20"/>
        </w:rPr>
        <w:t xml:space="preserve"> </w:t>
      </w:r>
      <w:r w:rsidR="00854C5B" w:rsidRPr="00854C5B">
        <w:rPr>
          <w:rFonts w:ascii="Trebuchet MS" w:hAnsi="Trebuchet MS" w:cs="Arial"/>
          <w:bCs/>
          <w:sz w:val="20"/>
        </w:rPr>
        <w:t>Oświadczenie to podpisuje się kwalifikowanym podpisem elektronicznym, podpisem zaufanym lub podpisem osobistym.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02C7171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854C5B">
        <w:rPr>
          <w:rFonts w:ascii="Trebuchet MS" w:hAnsi="Trebuchet MS" w:cs="Arial"/>
          <w:b/>
        </w:rPr>
        <w:t xml:space="preserve"> </w:t>
      </w:r>
      <w:r w:rsidR="00854C5B" w:rsidRPr="00854C5B">
        <w:rPr>
          <w:rFonts w:ascii="Trebuchet MS" w:hAnsi="Trebuchet MS" w:cs="Arial"/>
          <w:bCs/>
        </w:rPr>
        <w:t>(jeżeli dotyczy)</w:t>
      </w:r>
      <w:r w:rsidR="007C306C" w:rsidRPr="00854C5B">
        <w:rPr>
          <w:rFonts w:ascii="Trebuchet MS" w:hAnsi="Trebuchet MS" w:cs="Arial"/>
          <w:bCs/>
        </w:rPr>
        <w:t xml:space="preserve">, </w:t>
      </w:r>
      <w:r w:rsidR="007C306C" w:rsidRPr="003D50FE">
        <w:rPr>
          <w:rFonts w:ascii="Trebuchet MS" w:hAnsi="Trebuchet MS" w:cs="Arial"/>
          <w:bCs/>
        </w:rPr>
        <w:t>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A716B8">
        <w:rPr>
          <w:rFonts w:ascii="Trebuchet MS" w:hAnsi="Trebuchet MS" w:cs="Arial"/>
        </w:rPr>
        <w:t>Wykonawca może wprowadzić zmiany</w:t>
      </w:r>
      <w:r w:rsidR="00580F17" w:rsidRPr="00A716B8">
        <w:rPr>
          <w:rFonts w:ascii="Trebuchet MS" w:hAnsi="Trebuchet MS" w:cs="Arial"/>
        </w:rPr>
        <w:t xml:space="preserve"> w złożonej przez siebie ofercie</w:t>
      </w:r>
      <w:r w:rsidRPr="00A716B8">
        <w:rPr>
          <w:rFonts w:ascii="Trebuchet MS" w:hAnsi="Trebuchet MS" w:cs="Arial"/>
        </w:rPr>
        <w:t xml:space="preserve"> lub wycofać złożoną przez siebie ofertę</w:t>
      </w:r>
      <w:r w:rsidR="00580F17" w:rsidRPr="00A716B8">
        <w:rPr>
          <w:rFonts w:ascii="Trebuchet MS" w:hAnsi="Trebuchet MS" w:cs="Arial"/>
        </w:rPr>
        <w:t>. S</w:t>
      </w:r>
      <w:r w:rsidRPr="00A716B8">
        <w:rPr>
          <w:rFonts w:ascii="Trebuchet MS" w:hAnsi="Trebuchet MS" w:cs="Arial"/>
        </w:rPr>
        <w:t>posób zmiany lub wycofania oferty został op</w:t>
      </w:r>
      <w:r w:rsidR="00FD1627" w:rsidRPr="00A716B8">
        <w:rPr>
          <w:rFonts w:ascii="Trebuchet MS" w:hAnsi="Trebuchet MS" w:cs="Arial"/>
        </w:rPr>
        <w:t xml:space="preserve">isany w </w:t>
      </w:r>
      <w:r w:rsidR="00C547B5" w:rsidRPr="00A716B8">
        <w:rPr>
          <w:rFonts w:ascii="Trebuchet MS" w:hAnsi="Trebuchet MS" w:cs="Arial"/>
        </w:rPr>
        <w:t>instrukcjach uży</w:t>
      </w:r>
      <w:r w:rsidR="00594660" w:rsidRPr="00A716B8">
        <w:rPr>
          <w:rFonts w:ascii="Trebuchet MS" w:hAnsi="Trebuchet MS" w:cs="Arial"/>
        </w:rPr>
        <w:t>tkownika, o których mowa w ust.</w:t>
      </w:r>
      <w:r w:rsidR="00C97545" w:rsidRPr="00A716B8">
        <w:rPr>
          <w:rFonts w:ascii="Trebuchet MS" w:hAnsi="Trebuchet MS" w:cs="Arial"/>
        </w:rPr>
        <w:t xml:space="preserve"> 1, ust.</w:t>
      </w:r>
      <w:r w:rsidR="00246FB5" w:rsidRPr="00A716B8">
        <w:rPr>
          <w:rFonts w:ascii="Trebuchet MS" w:hAnsi="Trebuchet MS" w:cs="Arial"/>
        </w:rPr>
        <w:t xml:space="preserve"> </w:t>
      </w:r>
      <w:r w:rsidR="00AD56B3" w:rsidRPr="00A716B8">
        <w:rPr>
          <w:rFonts w:ascii="Trebuchet MS" w:hAnsi="Trebuchet MS" w:cs="Arial"/>
        </w:rPr>
        <w:t xml:space="preserve">3 i ust. </w:t>
      </w:r>
      <w:r w:rsidR="00D03DCA" w:rsidRPr="00A716B8">
        <w:rPr>
          <w:rFonts w:ascii="Trebuchet MS" w:hAnsi="Trebuchet MS" w:cs="Arial"/>
        </w:rPr>
        <w:t>5</w:t>
      </w:r>
      <w:r w:rsidR="00C547B5" w:rsidRPr="00A716B8">
        <w:rPr>
          <w:rFonts w:ascii="Trebuchet MS" w:hAnsi="Trebuchet MS" w:cs="Arial"/>
        </w:rPr>
        <w:t xml:space="preserve">. rozdziału </w:t>
      </w:r>
      <w:r w:rsidR="00D03DCA" w:rsidRPr="00A716B8">
        <w:rPr>
          <w:rFonts w:ascii="Trebuchet MS" w:hAnsi="Trebuchet MS" w:cs="Arial"/>
        </w:rPr>
        <w:t>XIII</w:t>
      </w:r>
      <w:r w:rsidR="00C547B5" w:rsidRPr="00A716B8">
        <w:rPr>
          <w:rFonts w:ascii="Trebuchet MS" w:hAnsi="Trebuchet MS" w:cs="Arial"/>
        </w:rPr>
        <w:t xml:space="preserve"> SWZ –</w:t>
      </w:r>
      <w:r w:rsidR="00C547B5">
        <w:rPr>
          <w:rFonts w:ascii="Trebuchet MS" w:hAnsi="Trebuchet MS" w:cs="Arial"/>
        </w:rPr>
        <w:t xml:space="preserve">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lastRenderedPageBreak/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9B3B6D3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="005C3D9F">
        <w:rPr>
          <w:rFonts w:ascii="Trebuchet MS" w:hAnsi="Trebuchet MS" w:cs="Arial"/>
        </w:rPr>
        <w:t xml:space="preserve"> z </w:t>
      </w:r>
      <w:proofErr w:type="spellStart"/>
      <w:r w:rsidR="005C3D9F">
        <w:rPr>
          <w:rFonts w:ascii="Trebuchet MS" w:hAnsi="Trebuchet MS" w:cs="Arial"/>
        </w:rPr>
        <w:t>późn</w:t>
      </w:r>
      <w:proofErr w:type="spellEnd"/>
      <w:r w:rsidR="005C3D9F">
        <w:rPr>
          <w:rFonts w:ascii="Trebuchet MS" w:hAnsi="Trebuchet MS" w:cs="Arial"/>
        </w:rPr>
        <w:t>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2C36D2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2C36D2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2C36D2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2C36D2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2C36D2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D3A6377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</w:t>
      </w:r>
      <w:r w:rsidR="005A43C3">
        <w:rPr>
          <w:rFonts w:ascii="Trebuchet MS" w:hAnsi="Trebuchet MS" w:cs="Arial"/>
        </w:rPr>
        <w:t>ą</w:t>
      </w:r>
      <w:r w:rsidR="000F5653">
        <w:rPr>
          <w:rFonts w:ascii="Trebuchet MS" w:hAnsi="Trebuchet MS" w:cs="Arial"/>
        </w:rPr>
        <w:t xml:space="preserve">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</w:t>
      </w:r>
      <w:r w:rsidRPr="009F5FC4">
        <w:rPr>
          <w:rFonts w:ascii="Trebuchet MS" w:hAnsi="Trebuchet MS" w:cs="Arial"/>
          <w:b/>
        </w:rPr>
        <w:t xml:space="preserve">nazwą, albo z umowy </w:t>
      </w:r>
      <w:r w:rsidR="00883FE1" w:rsidRPr="009F5FC4">
        <w:rPr>
          <w:rFonts w:ascii="Trebuchet MS" w:hAnsi="Trebuchet MS" w:cs="Arial"/>
          <w:b/>
        </w:rPr>
        <w:t>Wykonawców wspólnie ubiegających się o udzielenie zamówienia</w:t>
      </w:r>
      <w:r w:rsidRPr="009F5FC4">
        <w:rPr>
          <w:rFonts w:ascii="Trebuchet MS" w:hAnsi="Trebuchet MS" w:cs="Arial"/>
          <w:b/>
        </w:rPr>
        <w:t>.</w:t>
      </w:r>
    </w:p>
    <w:p w14:paraId="2E462291" w14:textId="77777777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9F5FC4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9F5FC4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9F5FC4">
        <w:rPr>
          <w:rFonts w:ascii="Trebuchet MS" w:hAnsi="Trebuchet MS" w:cs="Arial"/>
        </w:rPr>
        <w:t xml:space="preserve">upoważnionego </w:t>
      </w:r>
      <w:r w:rsidRPr="009F5FC4"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 xml:space="preserve">świadczenie o spełnianiu warunków udziału składa podmiot, który w odniesieniu do danego warunku udziału w postępowaniu potwierdza jego spełnianie; dopuszcza się oświadczenie </w:t>
      </w:r>
      <w:r w:rsidR="00116A9D" w:rsidRPr="00C92B30">
        <w:rPr>
          <w:rFonts w:ascii="Trebuchet MS" w:hAnsi="Trebuchet MS"/>
          <w:bCs/>
        </w:rPr>
        <w:lastRenderedPageBreak/>
        <w:t>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6D6D5C34" w14:textId="62A44CC6" w:rsidR="00C94948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54223074" w14:textId="77777777" w:rsidR="009F5FC4" w:rsidRPr="00E50BC1" w:rsidRDefault="009F5FC4" w:rsidP="009F5FC4">
      <w:pPr>
        <w:spacing w:line="288" w:lineRule="auto"/>
        <w:ind w:left="357"/>
        <w:jc w:val="both"/>
        <w:rPr>
          <w:rFonts w:ascii="Trebuchet MS" w:hAnsi="Trebuchet MS" w:cs="Arial"/>
        </w:rPr>
      </w:pPr>
    </w:p>
    <w:p w14:paraId="25F00158" w14:textId="77777777" w:rsidR="00232599" w:rsidRPr="0061030E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1030E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lastRenderedPageBreak/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9DEB02F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16F2D8D0" w14:textId="34D03AC3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002EB1AB" w14:textId="4E44771A" w:rsidR="00272600" w:rsidRPr="00272600" w:rsidRDefault="00272600" w:rsidP="00272600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  <w:bCs/>
        </w:rPr>
      </w:pPr>
      <w:r w:rsidRPr="00272600">
        <w:rPr>
          <w:rFonts w:ascii="Trebuchet MS" w:hAnsi="Trebuchet MS" w:cs="Arial"/>
          <w:b/>
          <w:bCs/>
        </w:rPr>
        <w:t xml:space="preserve">Z postępowania o udzielenie zamówienia wyklucza się Wykonawcę w przypadkach,                             o których mowa w art. 7 ust. 1 ustawy z dnia 13 kwietnia 2022 r. o szczególnych rozwiązaniach w zakresie przeciwdziałania wspieraniu agresji na Ukrainę oraz służących ochronie bezpieczeństwa narodowego (Dz.U. 2022 poz. 835). </w:t>
      </w:r>
    </w:p>
    <w:p w14:paraId="336B17F1" w14:textId="1A62AFBC" w:rsidR="00272600" w:rsidRDefault="00272600" w:rsidP="00272600">
      <w:pPr>
        <w:pStyle w:val="Akapitzlist"/>
        <w:spacing w:line="276" w:lineRule="auto"/>
        <w:ind w:left="1146"/>
        <w:jc w:val="both"/>
        <w:rPr>
          <w:rFonts w:ascii="Trebuchet MS" w:hAnsi="Trebuchet MS" w:cs="Arial"/>
          <w:b/>
          <w:bCs/>
        </w:rPr>
      </w:pPr>
      <w:r w:rsidRPr="00272600">
        <w:rPr>
          <w:rFonts w:ascii="Trebuchet MS" w:hAnsi="Trebuchet MS" w:cs="Arial"/>
          <w:b/>
          <w:bCs/>
        </w:rPr>
        <w:t>Do Wykonawcy podlegającego wykluczeniu w tym zakresie, stosuje się art. 7 ust. 3 wspomnianej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7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7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4751D404" w14:textId="4F7E34E8" w:rsidR="00E7016C" w:rsidRPr="00596442" w:rsidRDefault="004E292F" w:rsidP="004E292F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96442">
        <w:rPr>
          <w:rFonts w:ascii="Trebuchet MS" w:hAnsi="Trebuchet MS"/>
          <w:sz w:val="20"/>
          <w:szCs w:val="20"/>
        </w:rPr>
        <w:t xml:space="preserve">Wykonawca musi wykazać, iż w okresie ostatnich 5 lat przed upływem terminu składania ofert, a jeżeli okres prowadzenia działalności jest krótszy – w tym okresie, wykonał należycie </w:t>
      </w:r>
      <w:r w:rsidR="00133E20" w:rsidRPr="00596442">
        <w:rPr>
          <w:rFonts w:ascii="Trebuchet MS" w:hAnsi="Trebuchet MS"/>
          <w:sz w:val="20"/>
          <w:szCs w:val="20"/>
        </w:rPr>
        <w:t xml:space="preserve">co najmniej </w:t>
      </w:r>
      <w:r w:rsidR="00852ADC" w:rsidRPr="00596442">
        <w:rPr>
          <w:rFonts w:ascii="Trebuchet MS" w:hAnsi="Trebuchet MS"/>
          <w:b/>
          <w:bCs/>
          <w:sz w:val="20"/>
          <w:szCs w:val="20"/>
        </w:rPr>
        <w:t xml:space="preserve">1 robotę budowlaną polegającą na budowie lub rozbudowie lub przebudowie lub remoncie lub modernizacji </w:t>
      </w:r>
      <w:r w:rsidR="003A4F66" w:rsidRPr="00596442">
        <w:rPr>
          <w:rFonts w:ascii="Trebuchet MS" w:hAnsi="Trebuchet MS"/>
          <w:b/>
          <w:bCs/>
          <w:sz w:val="20"/>
          <w:szCs w:val="20"/>
        </w:rPr>
        <w:t>kanalizacj</w:t>
      </w:r>
      <w:r w:rsidR="00044B29" w:rsidRPr="00596442">
        <w:rPr>
          <w:rFonts w:ascii="Trebuchet MS" w:hAnsi="Trebuchet MS"/>
          <w:b/>
          <w:bCs/>
          <w:sz w:val="20"/>
          <w:szCs w:val="20"/>
        </w:rPr>
        <w:t xml:space="preserve">i </w:t>
      </w:r>
      <w:r w:rsidR="00852ADC" w:rsidRPr="00596442">
        <w:rPr>
          <w:rFonts w:ascii="Trebuchet MS" w:hAnsi="Trebuchet MS"/>
          <w:b/>
          <w:bCs/>
          <w:sz w:val="20"/>
          <w:szCs w:val="20"/>
        </w:rPr>
        <w:t xml:space="preserve">o wartości min. </w:t>
      </w:r>
      <w:r w:rsidR="00044B29" w:rsidRPr="00596442">
        <w:rPr>
          <w:rFonts w:ascii="Trebuchet MS" w:hAnsi="Trebuchet MS"/>
          <w:b/>
          <w:bCs/>
          <w:sz w:val="20"/>
          <w:szCs w:val="20"/>
        </w:rPr>
        <w:t>300</w:t>
      </w:r>
      <w:r w:rsidR="00852ADC" w:rsidRPr="00596442">
        <w:rPr>
          <w:rFonts w:ascii="Trebuchet MS" w:hAnsi="Trebuchet MS"/>
          <w:b/>
          <w:bCs/>
          <w:sz w:val="20"/>
          <w:szCs w:val="20"/>
        </w:rPr>
        <w:t>.000,00 zł brutto.</w:t>
      </w:r>
    </w:p>
    <w:p w14:paraId="7493B788" w14:textId="77777777" w:rsidR="004E292F" w:rsidRPr="004E292F" w:rsidRDefault="004E292F" w:rsidP="00347AD5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</w:p>
    <w:p w14:paraId="618177F0" w14:textId="3CCB206A" w:rsidR="00DD439C" w:rsidRPr="00E32A6B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422DF0C8" w:rsidR="00DD439C" w:rsidRDefault="00DD439C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6C973C0E" w:rsidR="00E37293" w:rsidRDefault="00E94C44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851704">
        <w:rPr>
          <w:rFonts w:ascii="Trebuchet MS" w:hAnsi="Trebuchet MS" w:cs="Arial"/>
          <w:b/>
        </w:rPr>
        <w:t>w Biuletynie Zamówień Publicznych (BZP) na portalu internetowym</w:t>
      </w:r>
      <w:r w:rsidRPr="00851704">
        <w:rPr>
          <w:rFonts w:ascii="Trebuchet MS" w:hAnsi="Trebuchet MS" w:cs="Arial"/>
          <w:b/>
        </w:rPr>
        <w:br/>
        <w:t>Urzędu Zamówień Publicznych.</w:t>
      </w: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597A37F2" w14:textId="49FC8AC3" w:rsidR="00E94C44" w:rsidRPr="006F2CE0" w:rsidRDefault="004B2F50" w:rsidP="00321647">
      <w:pPr>
        <w:pStyle w:val="Standarduser"/>
        <w:numPr>
          <w:ilvl w:val="2"/>
          <w:numId w:val="39"/>
        </w:numPr>
        <w:tabs>
          <w:tab w:val="left" w:pos="567"/>
          <w:tab w:val="left" w:pos="708"/>
          <w:tab w:val="left" w:pos="1134"/>
          <w:tab w:val="left" w:pos="1984"/>
        </w:tabs>
        <w:spacing w:line="276" w:lineRule="auto"/>
        <w:ind w:left="1985"/>
        <w:jc w:val="both"/>
        <w:rPr>
          <w:rFonts w:ascii="Trebuchet MS" w:hAnsi="Trebuchet MS"/>
          <w:b/>
          <w:bCs/>
          <w:kern w:val="0"/>
          <w:lang w:eastAsia="pl-PL"/>
        </w:rPr>
      </w:pPr>
      <w:r w:rsidRPr="006F2CE0">
        <w:rPr>
          <w:rFonts w:ascii="Trebuchet MS" w:hAnsi="Trebuchet MS"/>
          <w:sz w:val="20"/>
          <w:szCs w:val="20"/>
        </w:rPr>
        <w:t>Wykonawca musi wykazać dysponowanie</w:t>
      </w:r>
      <w:r w:rsidR="00851704" w:rsidRPr="006F2CE0">
        <w:rPr>
          <w:rFonts w:ascii="Trebuchet MS" w:hAnsi="Trebuchet MS"/>
          <w:sz w:val="20"/>
          <w:szCs w:val="20"/>
        </w:rPr>
        <w:t xml:space="preserve"> (dysponuje lub będzie dysponował) </w:t>
      </w:r>
      <w:r w:rsidRPr="006F2CE0">
        <w:rPr>
          <w:rFonts w:ascii="Trebuchet MS" w:hAnsi="Trebuchet MS"/>
          <w:sz w:val="20"/>
          <w:szCs w:val="20"/>
        </w:rPr>
        <w:t xml:space="preserve"> osobą</w:t>
      </w:r>
      <w:r w:rsidR="00851704" w:rsidRPr="006F2CE0">
        <w:rPr>
          <w:rFonts w:ascii="Trebuchet MS" w:hAnsi="Trebuchet MS"/>
          <w:sz w:val="20"/>
          <w:szCs w:val="20"/>
        </w:rPr>
        <w:t>/osobami</w:t>
      </w:r>
      <w:r w:rsidRPr="006F2CE0">
        <w:rPr>
          <w:rFonts w:ascii="Trebuchet MS" w:hAnsi="Trebuchet MS"/>
          <w:sz w:val="20"/>
          <w:szCs w:val="20"/>
        </w:rPr>
        <w:t xml:space="preserve"> zdolną</w:t>
      </w:r>
      <w:r w:rsidR="00851704" w:rsidRPr="006F2CE0">
        <w:rPr>
          <w:rFonts w:ascii="Trebuchet MS" w:hAnsi="Trebuchet MS"/>
          <w:sz w:val="20"/>
          <w:szCs w:val="20"/>
        </w:rPr>
        <w:t>/zdolnymi</w:t>
      </w:r>
      <w:r w:rsidRPr="006F2CE0">
        <w:rPr>
          <w:rFonts w:ascii="Trebuchet MS" w:hAnsi="Trebuchet MS"/>
          <w:sz w:val="20"/>
          <w:szCs w:val="20"/>
        </w:rPr>
        <w:t xml:space="preserve"> do wykonania zamówienia </w:t>
      </w:r>
      <w:r w:rsidR="006F2CE0">
        <w:rPr>
          <w:rFonts w:ascii="Trebuchet MS" w:hAnsi="Trebuchet MS"/>
          <w:sz w:val="20"/>
          <w:szCs w:val="20"/>
        </w:rPr>
        <w:br/>
      </w:r>
      <w:r w:rsidRPr="006F2CE0">
        <w:rPr>
          <w:rFonts w:ascii="Trebuchet MS" w:hAnsi="Trebuchet MS"/>
          <w:sz w:val="20"/>
          <w:szCs w:val="20"/>
        </w:rPr>
        <w:t>tj. posiadającą</w:t>
      </w:r>
      <w:r w:rsidR="00851704" w:rsidRPr="006F2CE0">
        <w:rPr>
          <w:rFonts w:ascii="Trebuchet MS" w:hAnsi="Trebuchet MS"/>
          <w:sz w:val="20"/>
          <w:szCs w:val="20"/>
        </w:rPr>
        <w:t>/posiadającymi</w:t>
      </w:r>
      <w:r w:rsidRPr="006F2CE0">
        <w:rPr>
          <w:rFonts w:ascii="Trebuchet MS" w:hAnsi="Trebuchet MS"/>
          <w:sz w:val="20"/>
          <w:szCs w:val="20"/>
        </w:rPr>
        <w:t xml:space="preserve"> prawo do wykonywania samodzielnych funkcji technicznych w budownictwie tj. odpowiednie uprawnienia budowlane </w:t>
      </w:r>
      <w:r w:rsidR="00851704" w:rsidRPr="006F2CE0">
        <w:rPr>
          <w:rFonts w:ascii="Trebuchet MS" w:hAnsi="Trebuchet MS"/>
          <w:sz w:val="20"/>
          <w:szCs w:val="20"/>
        </w:rPr>
        <w:br/>
      </w:r>
      <w:r w:rsidRPr="006F2CE0">
        <w:rPr>
          <w:rFonts w:ascii="Trebuchet MS" w:hAnsi="Trebuchet MS"/>
          <w:sz w:val="20"/>
          <w:szCs w:val="20"/>
        </w:rPr>
        <w:t>w zakresie kierowania robotami budowlanymi w specjalności</w:t>
      </w:r>
      <w:r w:rsidR="006F2CE0" w:rsidRPr="006F2CE0">
        <w:rPr>
          <w:rFonts w:ascii="Trebuchet MS" w:hAnsi="Trebuchet MS"/>
          <w:sz w:val="20"/>
          <w:szCs w:val="20"/>
        </w:rPr>
        <w:t xml:space="preserve"> </w:t>
      </w:r>
      <w:r w:rsidR="001B1788" w:rsidRPr="001B1788">
        <w:rPr>
          <w:rFonts w:ascii="Trebuchet MS" w:hAnsi="Trebuchet MS"/>
          <w:b/>
          <w:bCs/>
          <w:sz w:val="20"/>
          <w:szCs w:val="20"/>
        </w:rPr>
        <w:t xml:space="preserve">instalacyjnej </w:t>
      </w:r>
      <w:r w:rsidR="001B1788">
        <w:rPr>
          <w:rFonts w:ascii="Trebuchet MS" w:hAnsi="Trebuchet MS"/>
          <w:b/>
          <w:bCs/>
          <w:sz w:val="20"/>
          <w:szCs w:val="20"/>
        </w:rPr>
        <w:br/>
      </w:r>
      <w:r w:rsidR="001B1788" w:rsidRPr="001B1788">
        <w:rPr>
          <w:rFonts w:ascii="Trebuchet MS" w:hAnsi="Trebuchet MS"/>
          <w:b/>
          <w:bCs/>
          <w:sz w:val="20"/>
          <w:szCs w:val="20"/>
        </w:rPr>
        <w:t>w zakresie sieci, instalacji i urządzeń kanalizacyjnych</w:t>
      </w:r>
      <w:r w:rsidR="001B1788">
        <w:rPr>
          <w:rFonts w:ascii="Trebuchet MS" w:hAnsi="Trebuchet MS"/>
          <w:b/>
          <w:bCs/>
          <w:sz w:val="20"/>
          <w:szCs w:val="20"/>
        </w:rPr>
        <w:t xml:space="preserve"> </w:t>
      </w:r>
      <w:r w:rsidR="001B1788" w:rsidRPr="001B1788">
        <w:rPr>
          <w:rFonts w:ascii="Trebuchet MS" w:hAnsi="Trebuchet MS"/>
          <w:b/>
          <w:bCs/>
          <w:sz w:val="20"/>
          <w:szCs w:val="20"/>
        </w:rPr>
        <w:t>bez ograniczeń</w:t>
      </w:r>
      <w:r w:rsidR="001B1788">
        <w:rPr>
          <w:rFonts w:ascii="Trebuchet MS" w:hAnsi="Trebuchet MS"/>
          <w:b/>
          <w:bCs/>
          <w:sz w:val="20"/>
          <w:szCs w:val="20"/>
        </w:rPr>
        <w:t>.</w:t>
      </w:r>
    </w:p>
    <w:p w14:paraId="2B01CC5B" w14:textId="77777777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21E85ED1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lastRenderedPageBreak/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</w:t>
      </w:r>
      <w:r w:rsidR="005A1491" w:rsidRPr="005A1491">
        <w:rPr>
          <w:rFonts w:ascii="Trebuchet MS" w:hAnsi="Trebuchet MS" w:cs="Arial"/>
        </w:rPr>
        <w:t xml:space="preserve">tekst jednolity: </w:t>
      </w:r>
      <w:r w:rsidR="006D27E4">
        <w:rPr>
          <w:rFonts w:ascii="Trebuchet MS" w:hAnsi="Trebuchet MS" w:cs="Arial"/>
        </w:rPr>
        <w:t>Dz. U. z 2019 r. poz. 1117)</w:t>
      </w:r>
      <w:r w:rsidRPr="002F2824">
        <w:rPr>
          <w:rFonts w:ascii="Trebuchet MS" w:hAnsi="Trebuchet MS" w:cs="Arial"/>
        </w:rPr>
        <w:t>,</w:t>
      </w:r>
      <w:r w:rsidR="005A1491">
        <w:rPr>
          <w:rFonts w:ascii="Trebuchet MS" w:hAnsi="Trebuchet MS" w:cs="Arial"/>
        </w:rPr>
        <w:t xml:space="preserve"> </w:t>
      </w:r>
    </w:p>
    <w:p w14:paraId="39720083" w14:textId="7FC60776" w:rsidR="005A1491" w:rsidRPr="005A1491" w:rsidRDefault="00E32A6B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>tekst jednolity Dz. U. z 202</w:t>
      </w:r>
      <w:r w:rsidR="005A1491">
        <w:rPr>
          <w:rFonts w:ascii="Trebuchet MS" w:hAnsi="Trebuchet MS" w:cs="Arial"/>
        </w:rPr>
        <w:t>1</w:t>
      </w:r>
      <w:r w:rsidR="006D27E4" w:rsidRPr="006D27E4">
        <w:rPr>
          <w:rFonts w:ascii="Trebuchet MS" w:hAnsi="Trebuchet MS" w:cs="Arial"/>
        </w:rPr>
        <w:t xml:space="preserve"> r. poz. </w:t>
      </w:r>
      <w:r w:rsidR="005A1491">
        <w:rPr>
          <w:rFonts w:ascii="Trebuchet MS" w:hAnsi="Trebuchet MS" w:cs="Arial"/>
        </w:rPr>
        <w:t>2351</w:t>
      </w:r>
      <w:r w:rsidR="006D27E4" w:rsidRPr="006D27E4">
        <w:rPr>
          <w:rFonts w:ascii="Trebuchet MS" w:hAnsi="Trebuchet MS" w:cs="Arial"/>
        </w:rPr>
        <w:t xml:space="preserve">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  <w:r w:rsidR="005A1491">
        <w:rPr>
          <w:rFonts w:ascii="Trebuchet MS" w:hAnsi="Trebuchet MS" w:cs="Arial"/>
        </w:rPr>
        <w:br/>
      </w:r>
      <w:r w:rsidR="005A1491">
        <w:rPr>
          <w:rFonts w:ascii="Trebuchet MS" w:hAnsi="Trebuchet MS" w:cs="Arial"/>
        </w:rPr>
        <w:br/>
      </w:r>
      <w:r w:rsidR="005A1491" w:rsidRPr="005A1491">
        <w:rPr>
          <w:rFonts w:ascii="Trebuchet MS" w:hAnsi="Trebuchet MS" w:cs="Arial"/>
          <w:b/>
          <w:bCs/>
        </w:rPr>
        <w:t>Uwaga:</w:t>
      </w:r>
      <w:r w:rsidR="005A1491" w:rsidRPr="005A1491">
        <w:rPr>
          <w:rFonts w:ascii="Trebuchet MS" w:hAnsi="Trebuchet MS" w:cs="Arial"/>
        </w:rPr>
        <w:t xml:space="preserve"> </w:t>
      </w:r>
    </w:p>
    <w:p w14:paraId="38BDCCE7" w14:textId="658A689F" w:rsidR="00E94C44" w:rsidRPr="005A1491" w:rsidRDefault="005A1491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5A1491">
        <w:rPr>
          <w:rFonts w:ascii="Trebuchet MS" w:hAnsi="Trebuchet MS" w:cs="Arial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4C8D491C" w14:textId="5AF7D5E5" w:rsidR="00723F69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08529E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2007 r. o ochronie konkurencji i konsumentów (Dz.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lastRenderedPageBreak/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8B7686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8B7686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8B7686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430946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430946">
        <w:rPr>
          <w:rFonts w:ascii="Trebuchet MS" w:hAnsi="Trebuchet MS"/>
          <w:bCs/>
          <w:sz w:val="20"/>
        </w:rPr>
        <w:t>Jeżeli zdolności techniczne lub zawodowe podmiotu</w:t>
      </w:r>
      <w:r w:rsidR="008027D8" w:rsidRPr="00430946">
        <w:rPr>
          <w:rFonts w:ascii="Trebuchet MS" w:hAnsi="Trebuchet MS"/>
          <w:bCs/>
          <w:sz w:val="20"/>
        </w:rPr>
        <w:t xml:space="preserve"> udostępniającego zasoby </w:t>
      </w:r>
      <w:r w:rsidRPr="00430946"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 w:rsidRPr="00430946">
        <w:rPr>
          <w:rFonts w:ascii="Trebuchet MS" w:hAnsi="Trebuchet MS"/>
          <w:bCs/>
          <w:sz w:val="20"/>
        </w:rPr>
        <w:t xml:space="preserve">ępowaniu lub zachodzą wobec tego podmiotu </w:t>
      </w:r>
      <w:r w:rsidRPr="00430946">
        <w:rPr>
          <w:rFonts w:ascii="Trebuchet MS" w:hAnsi="Trebuchet MS"/>
          <w:bCs/>
          <w:sz w:val="20"/>
        </w:rPr>
        <w:t>podstawy wykluczenia</w:t>
      </w:r>
      <w:r w:rsidR="008027D8" w:rsidRPr="00430946">
        <w:rPr>
          <w:rFonts w:ascii="Trebuchet MS" w:hAnsi="Trebuchet MS"/>
          <w:bCs/>
          <w:sz w:val="20"/>
        </w:rPr>
        <w:t>,</w:t>
      </w:r>
      <w:r w:rsidRPr="00430946"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 w:rsidRPr="00430946">
        <w:rPr>
          <w:rFonts w:ascii="Trebuchet MS" w:hAnsi="Trebuchet MS"/>
          <w:bCs/>
          <w:sz w:val="20"/>
        </w:rPr>
        <w:t xml:space="preserve"> określonym przez Zamawiającego </w:t>
      </w:r>
      <w:r w:rsidRPr="00430946">
        <w:rPr>
          <w:rFonts w:ascii="Trebuchet MS" w:hAnsi="Trebuchet MS"/>
          <w:bCs/>
          <w:sz w:val="20"/>
        </w:rPr>
        <w:t>zastąpił ten podmiot innym podmiotem l</w:t>
      </w:r>
      <w:r w:rsidR="008027D8" w:rsidRPr="00430946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BC52999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101DD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101DD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10DC7B88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 xml:space="preserve">Ofertę należy złożyć za pośrednictwem </w:t>
      </w:r>
      <w:r w:rsidRPr="00A716B8">
        <w:rPr>
          <w:rFonts w:ascii="Trebuchet MS" w:hAnsi="Trebuchet MS" w:cs="Arial"/>
          <w:sz w:val="20"/>
        </w:rPr>
        <w:t xml:space="preserve">Platformy przetargowej </w:t>
      </w:r>
      <w:hyperlink r:id="rId15" w:history="1">
        <w:r w:rsidRPr="00DF3F75">
          <w:rPr>
            <w:rStyle w:val="Hipercze"/>
            <w:rFonts w:ascii="Trebuchet MS" w:hAnsi="Trebuchet MS" w:cs="Arial"/>
            <w:sz w:val="20"/>
          </w:rPr>
          <w:t>https://platformazakupowa.pl/transakcja/</w:t>
        </w:r>
        <w:r w:rsidR="00DF3F75" w:rsidRPr="00DF3F75">
          <w:rPr>
            <w:rStyle w:val="Hipercze"/>
            <w:rFonts w:ascii="Trebuchet MS" w:hAnsi="Trebuchet MS" w:cs="Arial"/>
            <w:sz w:val="20"/>
          </w:rPr>
          <w:t>639023</w:t>
        </w:r>
      </w:hyperlink>
      <w:r w:rsidRPr="00A716B8">
        <w:rPr>
          <w:rFonts w:ascii="Trebuchet MS" w:hAnsi="Trebuchet MS" w:cs="Arial"/>
        </w:rPr>
        <w:t xml:space="preserve"> </w:t>
      </w:r>
      <w:r w:rsidRPr="00A716B8">
        <w:rPr>
          <w:rFonts w:ascii="Trebuchet MS" w:hAnsi="Trebuchet MS" w:cs="Arial"/>
          <w:sz w:val="20"/>
        </w:rPr>
        <w:t>nie później niż do dnia</w:t>
      </w:r>
      <w:r w:rsidR="00D5253D">
        <w:rPr>
          <w:rFonts w:ascii="Trebuchet MS" w:hAnsi="Trebuchet MS" w:cs="Arial"/>
          <w:sz w:val="20"/>
        </w:rPr>
        <w:t xml:space="preserve"> </w:t>
      </w:r>
      <w:r w:rsidR="00134CF0">
        <w:rPr>
          <w:rFonts w:ascii="Trebuchet MS" w:hAnsi="Trebuchet MS" w:cs="Arial"/>
          <w:b/>
          <w:sz w:val="20"/>
        </w:rPr>
        <w:t>02</w:t>
      </w:r>
      <w:r w:rsidRPr="00A716B8">
        <w:rPr>
          <w:rFonts w:ascii="Trebuchet MS" w:hAnsi="Trebuchet MS" w:cs="Arial"/>
          <w:b/>
          <w:sz w:val="20"/>
        </w:rPr>
        <w:t>.0</w:t>
      </w:r>
      <w:r w:rsidR="00134CF0">
        <w:rPr>
          <w:rFonts w:ascii="Trebuchet MS" w:hAnsi="Trebuchet MS" w:cs="Arial"/>
          <w:b/>
          <w:sz w:val="20"/>
        </w:rPr>
        <w:t>8</w:t>
      </w:r>
      <w:r w:rsidRPr="00A716B8">
        <w:rPr>
          <w:rFonts w:ascii="Trebuchet MS" w:hAnsi="Trebuchet MS" w:cs="Arial"/>
          <w:b/>
          <w:sz w:val="20"/>
        </w:rPr>
        <w:t>.2022r.</w:t>
      </w:r>
      <w:r w:rsidRPr="00E53A75">
        <w:rPr>
          <w:rFonts w:ascii="Trebuchet MS" w:hAnsi="Trebuchet MS" w:cs="Arial"/>
          <w:b/>
          <w:sz w:val="20"/>
        </w:rPr>
        <w:t xml:space="preserve"> </w:t>
      </w:r>
      <w:r w:rsidRPr="00E53A75">
        <w:rPr>
          <w:rFonts w:ascii="Trebuchet MS" w:hAnsi="Trebuchet MS" w:cs="Arial"/>
          <w:b/>
          <w:sz w:val="20"/>
        </w:rPr>
        <w:br/>
        <w:t>do godziny 9:00,00</w:t>
      </w:r>
    </w:p>
    <w:p w14:paraId="6726C103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E53A75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0BCE9231" w14:textId="77777777" w:rsidR="00FB0B75" w:rsidRPr="00E53A75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E53A75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E53A75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2E755A04" w:rsidR="0042417D" w:rsidRPr="00E53A75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T</w:t>
      </w:r>
      <w:r w:rsidR="0042417D" w:rsidRPr="00E53A75">
        <w:rPr>
          <w:rFonts w:ascii="Trebuchet MS" w:hAnsi="Trebuchet MS" w:cs="Arial"/>
          <w:sz w:val="20"/>
        </w:rPr>
        <w:t xml:space="preserve">ermin związania ofertą </w:t>
      </w:r>
      <w:r w:rsidR="0042417D" w:rsidRPr="00A716B8">
        <w:rPr>
          <w:rFonts w:ascii="Trebuchet MS" w:hAnsi="Trebuchet MS" w:cs="Arial"/>
          <w:sz w:val="20"/>
        </w:rPr>
        <w:t xml:space="preserve">upływa w </w:t>
      </w:r>
      <w:r w:rsidR="0042417D" w:rsidRPr="00134CF0">
        <w:rPr>
          <w:rFonts w:ascii="Trebuchet MS" w:hAnsi="Trebuchet MS" w:cs="Arial"/>
          <w:sz w:val="20"/>
        </w:rPr>
        <w:t xml:space="preserve">dniu </w:t>
      </w:r>
      <w:r w:rsidR="00134CF0" w:rsidRPr="00134CF0">
        <w:rPr>
          <w:rFonts w:ascii="Trebuchet MS" w:hAnsi="Trebuchet MS" w:cs="Arial"/>
          <w:b/>
          <w:sz w:val="20"/>
        </w:rPr>
        <w:t>31</w:t>
      </w:r>
      <w:r w:rsidR="00055381" w:rsidRPr="00134CF0">
        <w:rPr>
          <w:rFonts w:ascii="Trebuchet MS" w:hAnsi="Trebuchet MS" w:cs="Arial"/>
          <w:b/>
          <w:sz w:val="20"/>
        </w:rPr>
        <w:t>.</w:t>
      </w:r>
      <w:r w:rsidR="003C756A" w:rsidRPr="00134CF0">
        <w:rPr>
          <w:rFonts w:ascii="Trebuchet MS" w:hAnsi="Trebuchet MS" w:cs="Arial"/>
          <w:b/>
          <w:sz w:val="20"/>
        </w:rPr>
        <w:t>0</w:t>
      </w:r>
      <w:r w:rsidR="00134CF0" w:rsidRPr="00134CF0">
        <w:rPr>
          <w:rFonts w:ascii="Trebuchet MS" w:hAnsi="Trebuchet MS" w:cs="Arial"/>
          <w:b/>
          <w:sz w:val="20"/>
        </w:rPr>
        <w:t>8</w:t>
      </w:r>
      <w:r w:rsidR="007755DF" w:rsidRPr="00134CF0">
        <w:rPr>
          <w:rFonts w:ascii="Trebuchet MS" w:hAnsi="Trebuchet MS" w:cs="Arial"/>
          <w:b/>
          <w:sz w:val="20"/>
        </w:rPr>
        <w:t>.202</w:t>
      </w:r>
      <w:r w:rsidR="00F86584" w:rsidRPr="00134CF0">
        <w:rPr>
          <w:rFonts w:ascii="Trebuchet MS" w:hAnsi="Trebuchet MS" w:cs="Arial"/>
          <w:b/>
          <w:sz w:val="20"/>
        </w:rPr>
        <w:t>2</w:t>
      </w:r>
      <w:r w:rsidR="00566B22" w:rsidRPr="00134CF0">
        <w:rPr>
          <w:rFonts w:ascii="Trebuchet MS" w:hAnsi="Trebuchet MS" w:cs="Arial"/>
          <w:b/>
          <w:sz w:val="20"/>
        </w:rPr>
        <w:t>r.</w:t>
      </w:r>
    </w:p>
    <w:p w14:paraId="080A91BC" w14:textId="670B0D63" w:rsidR="00055381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2E0D892D" w14:textId="585440A3" w:rsidR="00134CF0" w:rsidRDefault="00134CF0" w:rsidP="00E60D53">
      <w:pPr>
        <w:spacing w:line="276" w:lineRule="auto"/>
        <w:rPr>
          <w:rFonts w:ascii="Trebuchet MS" w:hAnsi="Trebuchet MS" w:cs="Arial"/>
          <w:b/>
        </w:rPr>
      </w:pPr>
    </w:p>
    <w:p w14:paraId="33409D62" w14:textId="77777777" w:rsidR="00134CF0" w:rsidRPr="00E53A75" w:rsidRDefault="00134CF0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E53A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E53A75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E53A75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47882B37" w14:textId="53D52716" w:rsidR="0061559D" w:rsidRPr="0061559D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8" w:name="_Hlk61446340"/>
      <w:r w:rsidRPr="00A716B8">
        <w:rPr>
          <w:rFonts w:ascii="Trebuchet MS" w:hAnsi="Trebuchet MS" w:cs="Arial"/>
          <w:sz w:val="20"/>
        </w:rPr>
        <w:t xml:space="preserve">Otwarcie ofert nastąpi w </w:t>
      </w:r>
      <w:r w:rsidRPr="00134CF0">
        <w:rPr>
          <w:rFonts w:ascii="Trebuchet MS" w:hAnsi="Trebuchet MS" w:cs="Arial"/>
          <w:sz w:val="20"/>
        </w:rPr>
        <w:t xml:space="preserve">dniu </w:t>
      </w:r>
      <w:r w:rsidR="00134CF0" w:rsidRPr="00134CF0">
        <w:rPr>
          <w:rFonts w:ascii="Trebuchet MS" w:hAnsi="Trebuchet MS" w:cs="Arial"/>
          <w:b/>
          <w:sz w:val="20"/>
        </w:rPr>
        <w:t>02</w:t>
      </w:r>
      <w:r w:rsidR="007755DF" w:rsidRPr="00134CF0">
        <w:rPr>
          <w:rFonts w:ascii="Trebuchet MS" w:hAnsi="Trebuchet MS" w:cs="Arial"/>
          <w:b/>
          <w:sz w:val="20"/>
        </w:rPr>
        <w:t>.</w:t>
      </w:r>
      <w:r w:rsidR="003C756A" w:rsidRPr="00134CF0">
        <w:rPr>
          <w:rFonts w:ascii="Trebuchet MS" w:hAnsi="Trebuchet MS" w:cs="Arial"/>
          <w:b/>
          <w:sz w:val="20"/>
        </w:rPr>
        <w:t>0</w:t>
      </w:r>
      <w:r w:rsidR="00134CF0" w:rsidRPr="00134CF0">
        <w:rPr>
          <w:rFonts w:ascii="Trebuchet MS" w:hAnsi="Trebuchet MS" w:cs="Arial"/>
          <w:b/>
          <w:sz w:val="20"/>
        </w:rPr>
        <w:t>8</w:t>
      </w:r>
      <w:r w:rsidR="007755DF" w:rsidRPr="00134CF0">
        <w:rPr>
          <w:rFonts w:ascii="Trebuchet MS" w:hAnsi="Trebuchet MS" w:cs="Arial"/>
          <w:b/>
          <w:sz w:val="20"/>
        </w:rPr>
        <w:t>.</w:t>
      </w:r>
      <w:r w:rsidR="00CB1081" w:rsidRPr="00134CF0">
        <w:rPr>
          <w:rFonts w:ascii="Trebuchet MS" w:hAnsi="Trebuchet MS" w:cs="Arial"/>
          <w:b/>
          <w:sz w:val="20"/>
        </w:rPr>
        <w:t>20</w:t>
      </w:r>
      <w:r w:rsidR="007755DF" w:rsidRPr="00134CF0">
        <w:rPr>
          <w:rFonts w:ascii="Trebuchet MS" w:hAnsi="Trebuchet MS" w:cs="Arial"/>
          <w:b/>
          <w:sz w:val="20"/>
        </w:rPr>
        <w:t>2</w:t>
      </w:r>
      <w:r w:rsidR="00F86584" w:rsidRPr="00134CF0">
        <w:rPr>
          <w:rFonts w:ascii="Trebuchet MS" w:hAnsi="Trebuchet MS" w:cs="Arial"/>
          <w:b/>
          <w:sz w:val="20"/>
        </w:rPr>
        <w:t>2</w:t>
      </w:r>
      <w:r w:rsidR="009422D2" w:rsidRPr="00134CF0">
        <w:rPr>
          <w:rFonts w:ascii="Trebuchet MS" w:hAnsi="Trebuchet MS" w:cs="Arial"/>
          <w:bCs/>
          <w:sz w:val="20"/>
        </w:rPr>
        <w:t>r</w:t>
      </w:r>
      <w:r w:rsidR="009422D2" w:rsidRPr="00A716B8">
        <w:rPr>
          <w:rFonts w:ascii="Trebuchet MS" w:hAnsi="Trebuchet MS" w:cs="Arial"/>
          <w:bCs/>
          <w:sz w:val="20"/>
        </w:rPr>
        <w:t>.</w:t>
      </w:r>
      <w:r w:rsidRPr="00A716B8">
        <w:rPr>
          <w:rFonts w:ascii="Trebuchet MS" w:hAnsi="Trebuchet MS" w:cs="Arial"/>
          <w:b/>
          <w:sz w:val="20"/>
        </w:rPr>
        <w:t xml:space="preserve"> </w:t>
      </w:r>
      <w:r w:rsidRPr="00A716B8">
        <w:rPr>
          <w:rFonts w:ascii="Trebuchet MS" w:hAnsi="Trebuchet MS" w:cs="Arial"/>
          <w:sz w:val="20"/>
        </w:rPr>
        <w:t>o godzinie</w:t>
      </w:r>
      <w:r w:rsidRPr="00A716B8">
        <w:rPr>
          <w:rFonts w:ascii="Trebuchet MS" w:hAnsi="Trebuchet MS" w:cs="Arial"/>
          <w:b/>
          <w:sz w:val="20"/>
        </w:rPr>
        <w:t xml:space="preserve"> </w:t>
      </w:r>
      <w:r w:rsidR="00CD1EE7" w:rsidRPr="00A716B8">
        <w:rPr>
          <w:rFonts w:ascii="Trebuchet MS" w:hAnsi="Trebuchet MS" w:cs="Arial"/>
          <w:b/>
          <w:sz w:val="20"/>
        </w:rPr>
        <w:t>9</w:t>
      </w:r>
      <w:r w:rsidR="009E1BD3" w:rsidRPr="00A716B8">
        <w:rPr>
          <w:rFonts w:ascii="Trebuchet MS" w:hAnsi="Trebuchet MS" w:cs="Arial"/>
          <w:b/>
          <w:sz w:val="20"/>
        </w:rPr>
        <w:t>:</w:t>
      </w:r>
      <w:r w:rsidR="007876A6" w:rsidRPr="00A716B8">
        <w:rPr>
          <w:rFonts w:ascii="Trebuchet MS" w:hAnsi="Trebuchet MS" w:cs="Arial"/>
          <w:b/>
          <w:sz w:val="20"/>
        </w:rPr>
        <w:t>3</w:t>
      </w:r>
      <w:r w:rsidR="007755DF" w:rsidRPr="00A716B8">
        <w:rPr>
          <w:rFonts w:ascii="Trebuchet MS" w:hAnsi="Trebuchet MS" w:cs="Arial"/>
          <w:b/>
          <w:sz w:val="20"/>
        </w:rPr>
        <w:t>0</w:t>
      </w:r>
      <w:r w:rsidRPr="0099249D">
        <w:rPr>
          <w:rFonts w:ascii="Trebuchet MS" w:hAnsi="Trebuchet MS" w:cs="Arial"/>
          <w:sz w:val="20"/>
        </w:rPr>
        <w:t xml:space="preserve">, </w:t>
      </w:r>
      <w:r w:rsidR="001A030B" w:rsidRPr="0099249D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8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160B38A1" w:rsidR="00164E76" w:rsidRPr="009C2629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39AAFC6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48FA6E01" w14:textId="3A7D3C05" w:rsidR="0098285B" w:rsidRDefault="0098285B" w:rsidP="0098285B">
      <w:pPr>
        <w:pStyle w:val="Tekstpodstawowy"/>
        <w:spacing w:line="36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br/>
        <w:t>Zamawiający nie przewiduje możliwości przeprowadzenia negocjacji w celu ulepszenia ofert (art. 275 pkt 1 ustawy).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F9503A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9503A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F9503A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F9503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F9503A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F9503A">
        <w:rPr>
          <w:rFonts w:ascii="Trebuchet MS" w:hAnsi="Trebuchet MS" w:cs="Arial"/>
          <w:b/>
          <w:sz w:val="20"/>
        </w:rPr>
        <w:t xml:space="preserve">cena ofertowa – </w:t>
      </w:r>
      <w:r w:rsidR="001C2330" w:rsidRPr="00F9503A">
        <w:rPr>
          <w:rFonts w:ascii="Trebuchet MS" w:hAnsi="Trebuchet MS" w:cs="Arial"/>
          <w:b/>
          <w:sz w:val="20"/>
        </w:rPr>
        <w:t>60</w:t>
      </w:r>
      <w:r w:rsidRPr="00F9503A">
        <w:rPr>
          <w:rFonts w:ascii="Trebuchet MS" w:hAnsi="Trebuchet MS" w:cs="Arial"/>
          <w:b/>
          <w:sz w:val="20"/>
        </w:rPr>
        <w:t xml:space="preserve"> pkt</w:t>
      </w:r>
      <w:r w:rsidR="00C21F6A" w:rsidRPr="00F9503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 w:rsidRPr="00F9503A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F9503A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9" w:name="_Hlk84314722"/>
      <w:r w:rsidRPr="00F9503A">
        <w:rPr>
          <w:rFonts w:ascii="Trebuchet MS" w:hAnsi="Trebuchet MS" w:cs="Arial"/>
          <w:b/>
          <w:sz w:val="20"/>
        </w:rPr>
        <w:t>okres udzielonej gwarancji</w:t>
      </w:r>
      <w:r w:rsidR="001C2330" w:rsidRPr="00F9503A">
        <w:rPr>
          <w:rFonts w:ascii="Trebuchet MS" w:hAnsi="Trebuchet MS" w:cs="Arial"/>
          <w:b/>
          <w:sz w:val="20"/>
        </w:rPr>
        <w:t xml:space="preserve"> </w:t>
      </w:r>
      <w:bookmarkEnd w:id="9"/>
      <w:r w:rsidRPr="00F9503A">
        <w:rPr>
          <w:rFonts w:ascii="Trebuchet MS" w:hAnsi="Trebuchet MS" w:cs="Arial"/>
          <w:b/>
          <w:sz w:val="20"/>
        </w:rPr>
        <w:t xml:space="preserve">– </w:t>
      </w:r>
      <w:r w:rsidR="001C08E7" w:rsidRPr="00F9503A">
        <w:rPr>
          <w:rFonts w:ascii="Trebuchet MS" w:hAnsi="Trebuchet MS" w:cs="Arial"/>
          <w:b/>
          <w:sz w:val="20"/>
        </w:rPr>
        <w:t>4</w:t>
      </w:r>
      <w:r w:rsidR="001C2330" w:rsidRPr="00F9503A">
        <w:rPr>
          <w:rFonts w:ascii="Trebuchet MS" w:hAnsi="Trebuchet MS" w:cs="Arial"/>
          <w:b/>
          <w:sz w:val="20"/>
        </w:rPr>
        <w:t>0</w:t>
      </w:r>
      <w:r w:rsidR="006D3814" w:rsidRPr="00F9503A">
        <w:rPr>
          <w:rFonts w:ascii="Trebuchet MS" w:hAnsi="Trebuchet MS" w:cs="Arial"/>
          <w:b/>
          <w:sz w:val="20"/>
        </w:rPr>
        <w:t xml:space="preserve"> </w:t>
      </w:r>
      <w:r w:rsidR="00B47CBE" w:rsidRPr="00F9503A">
        <w:rPr>
          <w:rFonts w:ascii="Trebuchet MS" w:hAnsi="Trebuchet MS" w:cs="Arial"/>
          <w:b/>
          <w:sz w:val="20"/>
        </w:rPr>
        <w:t>pkt</w:t>
      </w:r>
      <w:r w:rsidRPr="00F9503A">
        <w:rPr>
          <w:rFonts w:ascii="Trebuchet MS" w:hAnsi="Trebuchet MS" w:cs="Arial"/>
          <w:b/>
          <w:sz w:val="20"/>
        </w:rPr>
        <w:t xml:space="preserve"> (waga kryterium wyrażona w </w:t>
      </w:r>
      <w:r w:rsidR="00C21F6A" w:rsidRPr="00F9503A">
        <w:rPr>
          <w:rFonts w:ascii="Trebuchet MS" w:hAnsi="Trebuchet MS" w:cs="Arial"/>
          <w:b/>
          <w:sz w:val="20"/>
        </w:rPr>
        <w:t>punktach)</w:t>
      </w:r>
      <w:r w:rsidR="001C08E7" w:rsidRPr="00F9503A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0F14D9">
        <w:rPr>
          <w:rFonts w:ascii="Trebuchet MS" w:hAnsi="Trebuchet MS" w:cs="Arial"/>
          <w:b/>
        </w:rPr>
        <w:t>t.j</w:t>
      </w:r>
      <w:proofErr w:type="spellEnd"/>
      <w:r w:rsidR="000F14D9">
        <w:rPr>
          <w:rFonts w:ascii="Trebuchet MS" w:hAnsi="Trebuchet MS" w:cs="Arial"/>
          <w:b/>
        </w:rPr>
        <w:t xml:space="preserve">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7DF2D553" w:rsidR="007F6016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67EEC750" w14:textId="77777777" w:rsidR="00F9503A" w:rsidRPr="0067683A" w:rsidRDefault="00F9503A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A7528">
        <w:rPr>
          <w:rFonts w:ascii="Trebuchet MS" w:hAnsi="Trebuchet MS" w:cs="Arial"/>
        </w:rPr>
        <w:lastRenderedPageBreak/>
        <w:t xml:space="preserve">Minimalny termin gwarancji wynosi </w:t>
      </w:r>
      <w:r w:rsidR="00AA7528" w:rsidRPr="00AA7528">
        <w:rPr>
          <w:rFonts w:ascii="Trebuchet MS" w:hAnsi="Trebuchet MS" w:cs="Arial"/>
          <w:b/>
        </w:rPr>
        <w:t>3</w:t>
      </w:r>
      <w:r w:rsidRPr="00AA7528">
        <w:rPr>
          <w:rFonts w:ascii="Trebuchet MS" w:hAnsi="Trebuchet MS" w:cs="Arial"/>
          <w:b/>
        </w:rPr>
        <w:t xml:space="preserve"> lat</w:t>
      </w:r>
      <w:r w:rsidR="00AA7528" w:rsidRPr="00AA7528">
        <w:rPr>
          <w:rFonts w:ascii="Trebuchet MS" w:hAnsi="Trebuchet MS" w:cs="Arial"/>
          <w:b/>
        </w:rPr>
        <w:t>a</w:t>
      </w:r>
      <w:r w:rsidRPr="00AA7528">
        <w:rPr>
          <w:rFonts w:ascii="Trebuchet MS" w:hAnsi="Trebuchet MS" w:cs="Arial"/>
        </w:rPr>
        <w:t xml:space="preserve">. Za każdy 1 rok udzielonej gwarancji powyżej wymaganych </w:t>
      </w:r>
      <w:r w:rsidR="005E2EB8" w:rsidRPr="00AA7528">
        <w:rPr>
          <w:rFonts w:ascii="Trebuchet MS" w:hAnsi="Trebuchet MS" w:cs="Arial"/>
        </w:rPr>
        <w:br/>
      </w:r>
      <w:r w:rsidR="00AA7528" w:rsidRPr="00AA7528">
        <w:rPr>
          <w:rFonts w:ascii="Trebuchet MS" w:hAnsi="Trebuchet MS" w:cs="Arial"/>
        </w:rPr>
        <w:t>3</w:t>
      </w:r>
      <w:r w:rsidRPr="00AA7528">
        <w:rPr>
          <w:rFonts w:ascii="Trebuchet MS" w:hAnsi="Trebuchet MS" w:cs="Arial"/>
        </w:rPr>
        <w:t xml:space="preserve"> lat Wykonawca otrzyma </w:t>
      </w:r>
      <w:r w:rsidR="000156A5" w:rsidRPr="00AA7528">
        <w:rPr>
          <w:rFonts w:ascii="Trebuchet MS" w:hAnsi="Trebuchet MS" w:cs="Arial"/>
          <w:b/>
        </w:rPr>
        <w:t>10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 – maksymalnie </w:t>
      </w:r>
      <w:r w:rsidR="00DF3F84" w:rsidRPr="00AA7528">
        <w:rPr>
          <w:rFonts w:ascii="Trebuchet MS" w:hAnsi="Trebuchet MS" w:cs="Arial"/>
          <w:b/>
        </w:rPr>
        <w:t>4</w:t>
      </w:r>
      <w:r w:rsidR="000156A5" w:rsidRPr="00AA7528">
        <w:rPr>
          <w:rFonts w:ascii="Trebuchet MS" w:hAnsi="Trebuchet MS" w:cs="Arial"/>
          <w:b/>
        </w:rPr>
        <w:t>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za </w:t>
      </w:r>
      <w:r w:rsidR="00AA7528" w:rsidRPr="00AA7528">
        <w:rPr>
          <w:rFonts w:ascii="Trebuchet MS" w:hAnsi="Trebuchet MS" w:cs="Arial"/>
        </w:rPr>
        <w:t>7</w:t>
      </w:r>
      <w:r w:rsidRPr="00AA7528">
        <w:rPr>
          <w:rFonts w:ascii="Trebuchet MS" w:hAnsi="Trebuchet MS" w:cs="Arial"/>
        </w:rPr>
        <w:t xml:space="preserve"> i więcej lat udzielonej</w:t>
      </w:r>
      <w:r w:rsidRPr="000A11F1">
        <w:rPr>
          <w:rFonts w:ascii="Trebuchet MS" w:hAnsi="Trebuchet MS" w:cs="Arial"/>
        </w:rPr>
        <w:t xml:space="preserve">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0" w:name="_Hlk84316749"/>
    </w:p>
    <w:bookmarkEnd w:id="10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 xml:space="preserve">, jeżeli Zamawiający może je uzyskać za pomocą </w:t>
      </w:r>
      <w:r w:rsidR="00CF64D3">
        <w:rPr>
          <w:rFonts w:ascii="Trebuchet MS" w:hAnsi="Trebuchet MS" w:cs="Arial"/>
        </w:rPr>
        <w:lastRenderedPageBreak/>
        <w:t>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Pr="00B23A18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</w:t>
      </w:r>
      <w:r w:rsidRPr="00B23A18">
        <w:rPr>
          <w:rFonts w:ascii="Trebuchet MS" w:hAnsi="Trebuchet MS" w:cs="Arial"/>
        </w:rPr>
        <w:t>współpracę tych podmiotów (np. umow</w:t>
      </w:r>
      <w:r w:rsidR="00406CBD" w:rsidRPr="00B23A18">
        <w:rPr>
          <w:rFonts w:ascii="Trebuchet MS" w:hAnsi="Trebuchet MS" w:cs="Arial"/>
        </w:rPr>
        <w:t>a</w:t>
      </w:r>
      <w:r w:rsidRPr="00B23A18">
        <w:rPr>
          <w:rFonts w:ascii="Trebuchet MS" w:hAnsi="Trebuchet MS" w:cs="Arial"/>
        </w:rPr>
        <w:t xml:space="preserve"> konsorcjum, umowa spółki cywilnej),</w:t>
      </w:r>
    </w:p>
    <w:p w14:paraId="43838987" w14:textId="14EE62BE" w:rsidR="00863197" w:rsidRPr="00B23A18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B23A18">
        <w:rPr>
          <w:rFonts w:ascii="Trebuchet MS" w:hAnsi="Trebuchet MS" w:cs="Arial"/>
        </w:rPr>
        <w:t>wnie</w:t>
      </w:r>
      <w:r w:rsidR="00406CBD" w:rsidRPr="00B23A18">
        <w:rPr>
          <w:rFonts w:ascii="Trebuchet MS" w:hAnsi="Trebuchet MS" w:cs="Arial"/>
        </w:rPr>
        <w:t>sienia</w:t>
      </w:r>
      <w:r w:rsidRPr="00B23A18">
        <w:rPr>
          <w:rFonts w:ascii="Trebuchet MS" w:hAnsi="Trebuchet MS" w:cs="Arial"/>
        </w:rPr>
        <w:t xml:space="preserve"> zabezpieczeni</w:t>
      </w:r>
      <w:r w:rsidR="00406CBD" w:rsidRPr="00B23A18">
        <w:rPr>
          <w:rFonts w:ascii="Trebuchet MS" w:hAnsi="Trebuchet MS" w:cs="Arial"/>
        </w:rPr>
        <w:t>a</w:t>
      </w:r>
      <w:r w:rsidRPr="00B23A18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B23A18">
        <w:rPr>
          <w:rFonts w:ascii="Trebuchet MS" w:hAnsi="Trebuchet MS" w:cs="Arial"/>
        </w:rPr>
        <w:t>XXXI</w:t>
      </w:r>
      <w:r w:rsidRPr="00B23A18">
        <w:rPr>
          <w:rFonts w:ascii="Trebuchet MS" w:hAnsi="Trebuchet MS" w:cs="Arial"/>
        </w:rPr>
        <w:t xml:space="preserve"> SWZ</w:t>
      </w:r>
      <w:r w:rsidR="009F452E" w:rsidRPr="00B23A18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692E3BE0" w:rsidR="00406CBD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2DBC0287" w14:textId="16A33516" w:rsidR="00004B6C" w:rsidRPr="00004B6C" w:rsidRDefault="00004B6C" w:rsidP="00004B6C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04B6C">
        <w:rPr>
          <w:rFonts w:ascii="Trebuchet MS" w:hAnsi="Trebuchet MS" w:cs="Arial"/>
        </w:rPr>
        <w:t xml:space="preserve">złożenia kosztorysu ofertowego uproszczonego na wartość określoną w Formularzu oferty (załącznik nr 1 </w:t>
      </w:r>
      <w:r w:rsidRPr="001B1788">
        <w:rPr>
          <w:rFonts w:ascii="Trebuchet MS" w:hAnsi="Trebuchet MS" w:cs="Arial"/>
        </w:rPr>
        <w:t>do SWZ) z wyszczególnieniem czynników cenotwórczych, tj. narzutów i stawki roboczogodziny,</w:t>
      </w:r>
    </w:p>
    <w:p w14:paraId="0B1B778E" w14:textId="31296F35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</w:t>
      </w:r>
      <w:r w:rsidR="0083371C">
        <w:rPr>
          <w:rFonts w:ascii="Trebuchet MS" w:hAnsi="Trebuchet MS" w:cs="Arial"/>
        </w:rPr>
        <w:t xml:space="preserve"> </w:t>
      </w:r>
      <w:r w:rsidR="007B0F22">
        <w:rPr>
          <w:rFonts w:ascii="Trebuchet MS" w:hAnsi="Trebuchet MS" w:cs="Arial"/>
        </w:rPr>
        <w:t xml:space="preserve">lub opisu przedmiotu zamówienia podczas realizacji zamówienia i </w:t>
      </w:r>
      <w:r w:rsidR="0083371C">
        <w:rPr>
          <w:rFonts w:ascii="Trebuchet MS" w:hAnsi="Trebuchet MS" w:cs="Arial"/>
        </w:rPr>
        <w:t>we wskazany</w:t>
      </w:r>
      <w:r w:rsidR="007B0F22">
        <w:rPr>
          <w:rFonts w:ascii="Trebuchet MS" w:hAnsi="Trebuchet MS" w:cs="Arial"/>
        </w:rPr>
        <w:t>ch</w:t>
      </w:r>
      <w:r w:rsidR="0083371C">
        <w:rPr>
          <w:rFonts w:ascii="Trebuchet MS" w:hAnsi="Trebuchet MS" w:cs="Arial"/>
        </w:rPr>
        <w:t xml:space="preserve"> termin</w:t>
      </w:r>
      <w:r w:rsidR="007B0F22">
        <w:rPr>
          <w:rFonts w:ascii="Trebuchet MS" w:hAnsi="Trebuchet MS" w:cs="Arial"/>
        </w:rPr>
        <w:t>ach</w:t>
      </w:r>
      <w:r w:rsidR="0083371C">
        <w:rPr>
          <w:rFonts w:ascii="Trebuchet MS" w:hAnsi="Trebuchet MS" w:cs="Arial"/>
        </w:rPr>
        <w:t>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613F0A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613F0A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613F0A">
        <w:rPr>
          <w:rFonts w:ascii="Trebuchet MS" w:hAnsi="Trebuchet MS" w:cs="Arial"/>
          <w:kern w:val="3"/>
          <w:lang w:eastAsia="zh-CN"/>
        </w:rPr>
        <w:t>, zobowiązany jest</w:t>
      </w:r>
      <w:r w:rsidRPr="00613F0A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613F0A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613F0A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613F0A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613F0A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613F0A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613F0A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613F0A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613F0A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613F0A">
        <w:rPr>
          <w:rFonts w:ascii="Trebuchet MS" w:hAnsi="Trebuchet MS" w:cs="Arial"/>
          <w:kern w:val="3"/>
          <w:lang w:eastAsia="zh-CN"/>
        </w:rPr>
        <w:t xml:space="preserve"> </w:t>
      </w:r>
      <w:r w:rsidRPr="00613F0A">
        <w:rPr>
          <w:rFonts w:ascii="Trebuchet MS" w:hAnsi="Trebuchet MS" w:cs="Arial"/>
          <w:b/>
          <w:kern w:val="3"/>
          <w:lang w:eastAsia="zh-CN"/>
        </w:rPr>
        <w:t xml:space="preserve">całkowitej </w:t>
      </w:r>
      <w:r w:rsidR="00943E7A" w:rsidRPr="00613F0A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 w:rsidRPr="00613F0A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lastRenderedPageBreak/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388C6DF8" w:rsid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7E638F84" w14:textId="77777777" w:rsidR="00FB3541" w:rsidRPr="001A0454" w:rsidRDefault="00FB3541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6F89200D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 xml:space="preserve">2012 r. </w:t>
      </w:r>
      <w:r w:rsidR="003C1576" w:rsidRPr="00B23A18">
        <w:rPr>
          <w:rFonts w:ascii="Trebuchet MS" w:hAnsi="Trebuchet MS"/>
        </w:rPr>
        <w:t>- Prawo pocztowe albo wysłanie na adres do doręczeń elektronicznych, o których mowa w art. 2 pkt 1 ustawy z dnia 18 listopada 2020r. o doręczeniach elektronicznych, jest równoznaczne z jej wniesieniem</w:t>
      </w:r>
      <w:r w:rsidR="00B23A18" w:rsidRPr="00B23A18">
        <w:rPr>
          <w:rFonts w:ascii="Trebuchet MS" w:hAnsi="Trebuchet MS"/>
        </w:rPr>
        <w:t>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6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 xml:space="preserve">(tj. Dz.U. z 2021r. poz. 1129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09FA5510" w14:textId="77777777" w:rsidR="003C756A" w:rsidRPr="00304347" w:rsidRDefault="003C756A" w:rsidP="003C756A">
      <w:pPr>
        <w:pStyle w:val="Akapitzlist"/>
        <w:numPr>
          <w:ilvl w:val="0"/>
          <w:numId w:val="83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220A543D" w:rsidR="00687C34" w:rsidRPr="00F20AAA" w:rsidRDefault="00687C34" w:rsidP="000A6D31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521703E9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4A232E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numFmt w:val="decimal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751A3518"/>
    <w:multiLevelType w:val="multilevel"/>
    <w:tmpl w:val="1532A1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8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8813900">
    <w:abstractNumId w:val="32"/>
  </w:num>
  <w:num w:numId="2" w16cid:durableId="514537859">
    <w:abstractNumId w:val="66"/>
  </w:num>
  <w:num w:numId="3" w16cid:durableId="115413357">
    <w:abstractNumId w:val="72"/>
  </w:num>
  <w:num w:numId="4" w16cid:durableId="878973047">
    <w:abstractNumId w:val="62"/>
  </w:num>
  <w:num w:numId="5" w16cid:durableId="1888911237">
    <w:abstractNumId w:val="10"/>
  </w:num>
  <w:num w:numId="6" w16cid:durableId="1623346608">
    <w:abstractNumId w:val="50"/>
  </w:num>
  <w:num w:numId="7" w16cid:durableId="288241421">
    <w:abstractNumId w:val="70"/>
  </w:num>
  <w:num w:numId="8" w16cid:durableId="1389187266">
    <w:abstractNumId w:val="35"/>
  </w:num>
  <w:num w:numId="9" w16cid:durableId="1130056852">
    <w:abstractNumId w:val="78"/>
  </w:num>
  <w:num w:numId="10" w16cid:durableId="120189391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1433418">
    <w:abstractNumId w:val="37"/>
  </w:num>
  <w:num w:numId="12" w16cid:durableId="1968733125">
    <w:abstractNumId w:val="0"/>
  </w:num>
  <w:num w:numId="13" w16cid:durableId="2146388140">
    <w:abstractNumId w:val="34"/>
  </w:num>
  <w:num w:numId="14" w16cid:durableId="284165600">
    <w:abstractNumId w:val="47"/>
  </w:num>
  <w:num w:numId="15" w16cid:durableId="2043751030">
    <w:abstractNumId w:val="39"/>
  </w:num>
  <w:num w:numId="16" w16cid:durableId="1912231694">
    <w:abstractNumId w:val="6"/>
  </w:num>
  <w:num w:numId="17" w16cid:durableId="627273588">
    <w:abstractNumId w:val="13"/>
  </w:num>
  <w:num w:numId="18" w16cid:durableId="467630708">
    <w:abstractNumId w:val="11"/>
  </w:num>
  <w:num w:numId="19" w16cid:durableId="279653188">
    <w:abstractNumId w:val="9"/>
  </w:num>
  <w:num w:numId="20" w16cid:durableId="2099671300">
    <w:abstractNumId w:val="64"/>
  </w:num>
  <w:num w:numId="21" w16cid:durableId="990018991">
    <w:abstractNumId w:val="55"/>
  </w:num>
  <w:num w:numId="22" w16cid:durableId="98961074">
    <w:abstractNumId w:val="63"/>
  </w:num>
  <w:num w:numId="23" w16cid:durableId="1334529359">
    <w:abstractNumId w:val="54"/>
  </w:num>
  <w:num w:numId="24" w16cid:durableId="178013081">
    <w:abstractNumId w:val="33"/>
  </w:num>
  <w:num w:numId="25" w16cid:durableId="2071343484">
    <w:abstractNumId w:val="52"/>
  </w:num>
  <w:num w:numId="26" w16cid:durableId="994066839">
    <w:abstractNumId w:val="31"/>
  </w:num>
  <w:num w:numId="27" w16cid:durableId="522672075">
    <w:abstractNumId w:val="56"/>
  </w:num>
  <w:num w:numId="28" w16cid:durableId="832452857">
    <w:abstractNumId w:val="44"/>
  </w:num>
  <w:num w:numId="29" w16cid:durableId="1080832629">
    <w:abstractNumId w:val="53"/>
  </w:num>
  <w:num w:numId="30" w16cid:durableId="1920947599">
    <w:abstractNumId w:val="74"/>
  </w:num>
  <w:num w:numId="31" w16cid:durableId="692267019">
    <w:abstractNumId w:val="4"/>
  </w:num>
  <w:num w:numId="32" w16cid:durableId="848252707">
    <w:abstractNumId w:val="57"/>
  </w:num>
  <w:num w:numId="33" w16cid:durableId="1076437622">
    <w:abstractNumId w:val="68"/>
  </w:num>
  <w:num w:numId="34" w16cid:durableId="384597635">
    <w:abstractNumId w:val="40"/>
  </w:num>
  <w:num w:numId="35" w16cid:durableId="258030586">
    <w:abstractNumId w:val="22"/>
  </w:num>
  <w:num w:numId="36" w16cid:durableId="757601139">
    <w:abstractNumId w:val="60"/>
    <w:lvlOverride w:ilvl="0">
      <w:startOverride w:val="1"/>
    </w:lvlOverride>
  </w:num>
  <w:num w:numId="37" w16cid:durableId="1334798579">
    <w:abstractNumId w:val="42"/>
    <w:lvlOverride w:ilvl="0">
      <w:startOverride w:val="1"/>
    </w:lvlOverride>
  </w:num>
  <w:num w:numId="38" w16cid:durableId="1749377808">
    <w:abstractNumId w:val="28"/>
  </w:num>
  <w:num w:numId="39" w16cid:durableId="450170267">
    <w:abstractNumId w:val="58"/>
  </w:num>
  <w:num w:numId="40" w16cid:durableId="1591114480">
    <w:abstractNumId w:val="8"/>
  </w:num>
  <w:num w:numId="41" w16cid:durableId="878006827">
    <w:abstractNumId w:val="46"/>
  </w:num>
  <w:num w:numId="42" w16cid:durableId="16363759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6315526">
    <w:abstractNumId w:val="49"/>
  </w:num>
  <w:num w:numId="44" w16cid:durableId="653491070">
    <w:abstractNumId w:val="30"/>
  </w:num>
  <w:num w:numId="45" w16cid:durableId="878081317">
    <w:abstractNumId w:val="21"/>
  </w:num>
  <w:num w:numId="46" w16cid:durableId="1427270876">
    <w:abstractNumId w:val="38"/>
  </w:num>
  <w:num w:numId="47" w16cid:durableId="123470866">
    <w:abstractNumId w:val="48"/>
  </w:num>
  <w:num w:numId="48" w16cid:durableId="2562563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33881600">
    <w:abstractNumId w:val="26"/>
  </w:num>
  <w:num w:numId="50" w16cid:durableId="944000288">
    <w:abstractNumId w:val="29"/>
  </w:num>
  <w:num w:numId="51" w16cid:durableId="391075557">
    <w:abstractNumId w:val="12"/>
  </w:num>
  <w:num w:numId="52" w16cid:durableId="2038190747">
    <w:abstractNumId w:val="71"/>
  </w:num>
  <w:num w:numId="53" w16cid:durableId="18875954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9624354">
    <w:abstractNumId w:val="14"/>
  </w:num>
  <w:num w:numId="55" w16cid:durableId="1693995698">
    <w:abstractNumId w:val="77"/>
  </w:num>
  <w:num w:numId="56" w16cid:durableId="1468667380">
    <w:abstractNumId w:val="15"/>
  </w:num>
  <w:num w:numId="57" w16cid:durableId="760224261">
    <w:abstractNumId w:val="7"/>
  </w:num>
  <w:num w:numId="58" w16cid:durableId="1959948405">
    <w:abstractNumId w:val="19"/>
  </w:num>
  <w:num w:numId="59" w16cid:durableId="1823542952">
    <w:abstractNumId w:val="5"/>
  </w:num>
  <w:num w:numId="60" w16cid:durableId="122162253">
    <w:abstractNumId w:val="20"/>
  </w:num>
  <w:num w:numId="61" w16cid:durableId="641083363">
    <w:abstractNumId w:val="76"/>
  </w:num>
  <w:num w:numId="62" w16cid:durableId="1552889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12779150">
    <w:abstractNumId w:val="59"/>
  </w:num>
  <w:num w:numId="64" w16cid:durableId="2067990992">
    <w:abstractNumId w:val="69"/>
  </w:num>
  <w:num w:numId="65" w16cid:durableId="233397356">
    <w:abstractNumId w:val="61"/>
  </w:num>
  <w:num w:numId="66" w16cid:durableId="709383736">
    <w:abstractNumId w:val="43"/>
  </w:num>
  <w:num w:numId="67" w16cid:durableId="211353710">
    <w:abstractNumId w:val="51"/>
  </w:num>
  <w:num w:numId="68" w16cid:durableId="217595386">
    <w:abstractNumId w:val="23"/>
  </w:num>
  <w:num w:numId="69" w16cid:durableId="1109004959">
    <w:abstractNumId w:val="18"/>
  </w:num>
  <w:num w:numId="70" w16cid:durableId="825635649">
    <w:abstractNumId w:val="65"/>
  </w:num>
  <w:num w:numId="71" w16cid:durableId="386339653">
    <w:abstractNumId w:val="73"/>
  </w:num>
  <w:num w:numId="72" w16cid:durableId="2136173282">
    <w:abstractNumId w:val="16"/>
  </w:num>
  <w:num w:numId="73" w16cid:durableId="395325059">
    <w:abstractNumId w:val="67"/>
  </w:num>
  <w:num w:numId="74" w16cid:durableId="1690176187">
    <w:abstractNumId w:val="41"/>
  </w:num>
  <w:num w:numId="75" w16cid:durableId="7192053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68237153">
    <w:abstractNumId w:val="36"/>
  </w:num>
  <w:num w:numId="77" w16cid:durableId="1374231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990617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54537706">
    <w:abstractNumId w:val="17"/>
  </w:num>
  <w:num w:numId="80" w16cid:durableId="689916269">
    <w:abstractNumId w:val="75"/>
  </w:num>
  <w:num w:numId="81" w16cid:durableId="1435979066">
    <w:abstractNumId w:val="27"/>
  </w:num>
  <w:num w:numId="82" w16cid:durableId="21210993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9502136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B6C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7B9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4B29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4F93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3FE5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286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4CF0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88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88A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38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00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6D2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6EB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09F"/>
    <w:rsid w:val="00325135"/>
    <w:rsid w:val="00325DC9"/>
    <w:rsid w:val="00325DD9"/>
    <w:rsid w:val="003263F0"/>
    <w:rsid w:val="00326BEF"/>
    <w:rsid w:val="00326C76"/>
    <w:rsid w:val="0033074D"/>
    <w:rsid w:val="0033108A"/>
    <w:rsid w:val="00331B0F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4F66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76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000"/>
    <w:rsid w:val="00430888"/>
    <w:rsid w:val="00430946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29A6"/>
    <w:rsid w:val="0049305F"/>
    <w:rsid w:val="00493C8E"/>
    <w:rsid w:val="004941ED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4BF1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3DEB"/>
    <w:rsid w:val="00504D5B"/>
    <w:rsid w:val="00505EE4"/>
    <w:rsid w:val="005063F9"/>
    <w:rsid w:val="005064DB"/>
    <w:rsid w:val="00506570"/>
    <w:rsid w:val="005065F8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25A0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11D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6442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3C3"/>
    <w:rsid w:val="005A48F1"/>
    <w:rsid w:val="005A565E"/>
    <w:rsid w:val="005A57E3"/>
    <w:rsid w:val="005A5945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3F0A"/>
    <w:rsid w:val="006144B8"/>
    <w:rsid w:val="0061528B"/>
    <w:rsid w:val="00615397"/>
    <w:rsid w:val="0061545B"/>
    <w:rsid w:val="00615501"/>
    <w:rsid w:val="0061559D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E5D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EEC"/>
    <w:rsid w:val="0067387B"/>
    <w:rsid w:val="00674797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5A90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E7F7A"/>
    <w:rsid w:val="006F050A"/>
    <w:rsid w:val="006F10D5"/>
    <w:rsid w:val="006F27A1"/>
    <w:rsid w:val="006F2CE0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0F22"/>
    <w:rsid w:val="007B26B2"/>
    <w:rsid w:val="007B2BAD"/>
    <w:rsid w:val="007B2C8A"/>
    <w:rsid w:val="007B2ECA"/>
    <w:rsid w:val="007B30F8"/>
    <w:rsid w:val="007B32C2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205"/>
    <w:rsid w:val="00825504"/>
    <w:rsid w:val="008257C9"/>
    <w:rsid w:val="00825854"/>
    <w:rsid w:val="00825904"/>
    <w:rsid w:val="008259EA"/>
    <w:rsid w:val="00825ACD"/>
    <w:rsid w:val="008265A1"/>
    <w:rsid w:val="00826A33"/>
    <w:rsid w:val="008278C8"/>
    <w:rsid w:val="008308D1"/>
    <w:rsid w:val="008316F9"/>
    <w:rsid w:val="008319CB"/>
    <w:rsid w:val="00831C16"/>
    <w:rsid w:val="00831EF3"/>
    <w:rsid w:val="00832462"/>
    <w:rsid w:val="0083371C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ADC"/>
    <w:rsid w:val="00852EEF"/>
    <w:rsid w:val="0085306D"/>
    <w:rsid w:val="0085320E"/>
    <w:rsid w:val="008536A1"/>
    <w:rsid w:val="00854094"/>
    <w:rsid w:val="0085450D"/>
    <w:rsid w:val="00854C5B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0A5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686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D00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3E6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285B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19"/>
    <w:rsid w:val="009D2E46"/>
    <w:rsid w:val="009D2EC5"/>
    <w:rsid w:val="009D52F8"/>
    <w:rsid w:val="009D5D1E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3F8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622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0AEB"/>
    <w:rsid w:val="00A6100E"/>
    <w:rsid w:val="00A61509"/>
    <w:rsid w:val="00A6151C"/>
    <w:rsid w:val="00A615A3"/>
    <w:rsid w:val="00A6210A"/>
    <w:rsid w:val="00A62D54"/>
    <w:rsid w:val="00A62F92"/>
    <w:rsid w:val="00A63639"/>
    <w:rsid w:val="00A6389B"/>
    <w:rsid w:val="00A64B53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6EE5"/>
    <w:rsid w:val="00A6707F"/>
    <w:rsid w:val="00A674C0"/>
    <w:rsid w:val="00A67CF6"/>
    <w:rsid w:val="00A7033C"/>
    <w:rsid w:val="00A70348"/>
    <w:rsid w:val="00A71355"/>
    <w:rsid w:val="00A716B8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851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3A18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897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02A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9B0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482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0C0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2CD5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15AB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0FB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253D"/>
    <w:rsid w:val="00D53A51"/>
    <w:rsid w:val="00D5419A"/>
    <w:rsid w:val="00D5448C"/>
    <w:rsid w:val="00D54860"/>
    <w:rsid w:val="00D54D5C"/>
    <w:rsid w:val="00D55529"/>
    <w:rsid w:val="00D5644E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5A38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75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1DD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48EA"/>
    <w:rsid w:val="00E25309"/>
    <w:rsid w:val="00E25B7A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64A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E91"/>
    <w:rsid w:val="00EA0279"/>
    <w:rsid w:val="00EA04EE"/>
    <w:rsid w:val="00EA07C0"/>
    <w:rsid w:val="00EA0A8C"/>
    <w:rsid w:val="00EA0C00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6074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0AFA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15C8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3A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5978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577458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14303</TotalTime>
  <Pages>25</Pages>
  <Words>9879</Words>
  <Characters>59280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300</cp:revision>
  <cp:lastPrinted>2022-07-13T08:18:00Z</cp:lastPrinted>
  <dcterms:created xsi:type="dcterms:W3CDTF">2016-07-05T13:17:00Z</dcterms:created>
  <dcterms:modified xsi:type="dcterms:W3CDTF">2022-07-14T08:39:00Z</dcterms:modified>
</cp:coreProperties>
</file>