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4BD" w14:textId="3B86B32F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0603ED">
        <w:rPr>
          <w:rFonts w:ascii="Arial" w:hAnsi="Arial" w:cs="Arial"/>
          <w:sz w:val="24"/>
          <w:szCs w:val="24"/>
        </w:rPr>
        <w:t>1</w:t>
      </w:r>
      <w:r w:rsidR="0062794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0603ED">
        <w:rPr>
          <w:rFonts w:ascii="Arial" w:hAnsi="Arial" w:cs="Arial"/>
          <w:sz w:val="24"/>
          <w:szCs w:val="24"/>
        </w:rPr>
        <w:t>09</w:t>
      </w:r>
      <w:r w:rsidR="00100F8C">
        <w:rPr>
          <w:rFonts w:ascii="Arial" w:hAnsi="Arial" w:cs="Arial"/>
          <w:sz w:val="24"/>
          <w:szCs w:val="24"/>
        </w:rPr>
        <w:t>.202</w:t>
      </w:r>
      <w:r w:rsidR="000603ED">
        <w:rPr>
          <w:rFonts w:ascii="Arial" w:hAnsi="Arial" w:cs="Arial"/>
          <w:sz w:val="24"/>
          <w:szCs w:val="24"/>
        </w:rPr>
        <w:t>3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5718EE70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SA.270.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627942">
        <w:rPr>
          <w:rFonts w:ascii="Arial" w:eastAsia="Arial" w:hAnsi="Arial" w:cs="Arial"/>
          <w:color w:val="000000"/>
          <w:sz w:val="24"/>
          <w:lang w:eastAsia="pl-PL"/>
        </w:rPr>
        <w:t>8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3F9B5A2D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(t.j. Dz. U. z 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którego przedmiotem są: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24476387" w:rsidR="00854F0C" w:rsidRPr="00854F0C" w:rsidRDefault="000603ED" w:rsidP="000603ED">
      <w:pPr>
        <w:spacing w:after="189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         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627942">
        <w:rPr>
          <w:rFonts w:ascii="Arial" w:eastAsia="Arial" w:hAnsi="Arial" w:cs="Arial"/>
          <w:b/>
          <w:i/>
          <w:color w:val="000000"/>
          <w:sz w:val="24"/>
          <w:lang w:eastAsia="pl-PL"/>
        </w:rPr>
        <w:t>Przebudowa i remont budynku gospodarczego</w:t>
      </w: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w leśnictwie Regity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7FB26446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Przedmiotem zamówienia jest </w:t>
      </w:r>
      <w:r w:rsidR="00627942">
        <w:rPr>
          <w:rFonts w:ascii="Arial" w:eastAsia="Arial" w:hAnsi="Arial" w:cs="Arial"/>
          <w:color w:val="000000"/>
          <w:sz w:val="24"/>
          <w:lang w:eastAsia="pl-PL"/>
        </w:rPr>
        <w:t>przebudowa i remont budynku gospodarczego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leśnictwie Regity w 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 xml:space="preserve"> Nadleśnictw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 xml:space="preserve">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zgodnie z </w:t>
      </w:r>
      <w:r>
        <w:rPr>
          <w:rFonts w:ascii="Arial" w:eastAsia="Arial" w:hAnsi="Arial" w:cs="Arial"/>
          <w:color w:val="000000"/>
          <w:sz w:val="24"/>
          <w:lang w:eastAsia="pl-PL"/>
        </w:rPr>
        <w:t>dokumentacją techniczną: projektem architektoniczno-budowlanym, STWiORB oraz przedmiarem robót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stanowiącym załącznik nr 3 do zapytania ofertowego.  </w:t>
      </w:r>
    </w:p>
    <w:p w14:paraId="2452239A" w14:textId="033484D6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3</w:t>
      </w:r>
      <w:r w:rsidR="00FE1E9E">
        <w:rPr>
          <w:rFonts w:ascii="Arial" w:eastAsia="Arial" w:hAnsi="Arial" w:cs="Arial"/>
          <w:b/>
          <w:color w:val="000000"/>
          <w:sz w:val="24"/>
          <w:lang w:eastAsia="pl-PL"/>
        </w:rPr>
        <w:t>1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0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3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CCA14A3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złotówkach, zgodnie z formularzem ofertowym</w:t>
      </w:r>
      <w:r w:rsidR="0003659D">
        <w:rPr>
          <w:rFonts w:ascii="Arial" w:eastAsia="Arial" w:hAnsi="Arial" w:cs="Arial"/>
          <w:color w:val="000000"/>
          <w:sz w:val="24"/>
          <w:lang w:eastAsia="pl-PL"/>
        </w:rPr>
        <w:t xml:space="preserve"> oraz przedmiar robót.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D56A2C3" w14:textId="237B6E13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627942">
        <w:rPr>
          <w:rFonts w:ascii="Arial" w:eastAsia="Arial" w:hAnsi="Arial" w:cs="Arial"/>
          <w:b/>
          <w:color w:val="000000"/>
          <w:sz w:val="24"/>
          <w:lang w:eastAsia="pl-PL"/>
        </w:rPr>
        <w:t>22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09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3DB7A08C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627942">
        <w:rPr>
          <w:rFonts w:ascii="Arial" w:eastAsia="Arial" w:hAnsi="Arial" w:cs="Arial"/>
          <w:color w:val="000000"/>
          <w:sz w:val="24"/>
          <w:lang w:eastAsia="pl-PL"/>
        </w:rPr>
        <w:t>22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09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1DD21F34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</w:t>
      </w:r>
      <w:r w:rsidR="0003659D">
        <w:rPr>
          <w:rFonts w:ascii="Arial" w:eastAsia="Arial" w:hAnsi="Arial" w:cs="Arial"/>
          <w:color w:val="000000"/>
          <w:sz w:val="24"/>
          <w:lang w:eastAsia="pl-PL"/>
        </w:rPr>
        <w:t xml:space="preserve">wraz z przedmiarem robót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 xml:space="preserve">rza </w:t>
      </w:r>
      <w:r w:rsidR="0003659D">
        <w:rPr>
          <w:rFonts w:ascii="Arial" w:eastAsia="Arial" w:hAnsi="Arial" w:cs="Arial"/>
          <w:b/>
          <w:color w:val="000000"/>
          <w:sz w:val="24"/>
          <w:lang w:eastAsia="pl-PL"/>
        </w:rPr>
        <w:t>do składania ofert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07B6E3E9" w:rsidR="00854F0C" w:rsidRPr="00854F0C" w:rsidRDefault="00CF5885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F5885" w:rsidRPr="00854F0C" w14:paraId="2545F84F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FAD" w14:textId="05B6BD5C" w:rsidR="00CF5885" w:rsidRPr="00854F0C" w:rsidRDefault="00CF5885" w:rsidP="00854F0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Okres gwarancji (G)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3A0" w14:textId="108135D8" w:rsidR="00CF5885" w:rsidRDefault="00F23AB3" w:rsidP="00854F0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20%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 najkorzystniejszą uznana zostanie oferta, która uzyska najwyższą liczbę punktów (P), będącą sumą punktów przyznanych w poszczególnych kryteriach:  P = C+G </w:t>
      </w:r>
    </w:p>
    <w:p w14:paraId="4F8060D2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uzyskania przez dwie lub więcej ofert jednakowej ilości punktów postępowanie wygrywa oferta o najniższej cenie. Zastosowane wzory do obliczenia punktowego: </w:t>
      </w:r>
    </w:p>
    <w:p w14:paraId="0B0F3E45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„kryterium cena” będzie obliczana zgodnie  z poniższym wzorem: </w:t>
      </w:r>
    </w:p>
    <w:p w14:paraId="62D498B5" w14:textId="77777777" w:rsidR="00854F0C" w:rsidRPr="00854F0C" w:rsidRDefault="00854F0C" w:rsidP="00854F0C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0F34813" w14:textId="77777777" w:rsidR="00854F0C" w:rsidRPr="00854F0C" w:rsidRDefault="00854F0C" w:rsidP="00854F0C">
      <w:pPr>
        <w:spacing w:after="20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           C min </w:t>
      </w:r>
    </w:p>
    <w:p w14:paraId="6020BF17" w14:textId="22F799B4" w:rsidR="001912CC" w:rsidRDefault="00854F0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C= ---------------------- x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80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pkt (zaokrąglone do 2 miejsc po przecinku)              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634FCC6A" w14:textId="77777777" w:rsidR="00854F0C" w:rsidRPr="00854F0C" w:rsidRDefault="001912C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          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 bad </w:t>
      </w:r>
    </w:p>
    <w:p w14:paraId="0761F067" w14:textId="77777777" w:rsidR="00854F0C" w:rsidRPr="00854F0C" w:rsidRDefault="00854F0C" w:rsidP="00854F0C">
      <w:pPr>
        <w:spacing w:after="54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350567D" w14:textId="77777777" w:rsidR="00854F0C" w:rsidRPr="00854F0C" w:rsidRDefault="00854F0C" w:rsidP="00854F0C">
      <w:pPr>
        <w:tabs>
          <w:tab w:val="center" w:pos="743"/>
          <w:tab w:val="center" w:pos="4472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min – najniższa cena całkowita spośród badanych ofert </w:t>
      </w:r>
    </w:p>
    <w:p w14:paraId="4C12E6A8" w14:textId="77777777" w:rsidR="00854F0C" w:rsidRPr="00854F0C" w:rsidRDefault="00854F0C" w:rsidP="00854F0C">
      <w:pPr>
        <w:tabs>
          <w:tab w:val="center" w:pos="425"/>
          <w:tab w:val="center" w:pos="3453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bad – cena całkowita oferty badanej </w:t>
      </w:r>
    </w:p>
    <w:p w14:paraId="0C278E6E" w14:textId="77777777" w:rsidR="00854F0C" w:rsidRPr="00854F0C" w:rsidRDefault="00854F0C" w:rsidP="00854F0C">
      <w:pPr>
        <w:tabs>
          <w:tab w:val="center" w:pos="425"/>
          <w:tab w:val="center" w:pos="4757"/>
        </w:tabs>
        <w:spacing w:after="1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C1 – liczba punktów badanej oferty w kryterium najniższa cena </w:t>
      </w:r>
    </w:p>
    <w:p w14:paraId="648FCBCE" w14:textId="77777777" w:rsidR="00854F0C" w:rsidRPr="00854F0C" w:rsidRDefault="00854F0C" w:rsidP="00854F0C">
      <w:pPr>
        <w:spacing w:after="62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B8A805D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kryterium „okres gwarancji” będzie obliczana zgodnie z poniższym wzorem: </w:t>
      </w:r>
    </w:p>
    <w:p w14:paraId="0B6B6A85" w14:textId="77777777" w:rsidR="00854F0C" w:rsidRPr="00854F0C" w:rsidRDefault="00854F0C" w:rsidP="00854F0C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2E2382C" w14:textId="77777777" w:rsidR="00854F0C" w:rsidRPr="00220CFD" w:rsidRDefault="00854F0C" w:rsidP="00854F0C">
      <w:pPr>
        <w:spacing w:after="12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bad </w:t>
      </w:r>
    </w:p>
    <w:p w14:paraId="2B91D13E" w14:textId="4589BBA7" w:rsidR="00854F0C" w:rsidRPr="00220CFD" w:rsidRDefault="00854F0C" w:rsidP="00854F0C">
      <w:pPr>
        <w:spacing w:after="9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= --------------------------  x </w:t>
      </w:r>
      <w:r w:rsidR="00CF5885">
        <w:rPr>
          <w:rFonts w:ascii="Arial" w:eastAsia="Arial" w:hAnsi="Arial" w:cs="Arial"/>
          <w:color w:val="000000"/>
          <w:sz w:val="24"/>
          <w:lang w:val="en-US" w:eastAsia="pl-PL"/>
        </w:rPr>
        <w:t>2</w:t>
      </w: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0 pkt </w:t>
      </w:r>
    </w:p>
    <w:p w14:paraId="14150886" w14:textId="77777777" w:rsidR="00854F0C" w:rsidRPr="00220CFD" w:rsidRDefault="00854F0C" w:rsidP="00854F0C">
      <w:pPr>
        <w:spacing w:after="47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max </w:t>
      </w:r>
    </w:p>
    <w:p w14:paraId="05F4BDB9" w14:textId="77777777" w:rsidR="00854F0C" w:rsidRPr="00854F0C" w:rsidRDefault="00854F0C" w:rsidP="00854F0C">
      <w:pPr>
        <w:spacing w:after="47" w:line="269" w:lineRule="auto"/>
        <w:ind w:left="353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 G bad – łączny okres gwarancji zaoferowany w badanej ofercie (minimum </w:t>
      </w:r>
    </w:p>
    <w:p w14:paraId="191F08CC" w14:textId="77777777" w:rsidR="00854F0C" w:rsidRPr="00854F0C" w:rsidRDefault="00854F0C" w:rsidP="00854F0C">
      <w:pPr>
        <w:spacing w:after="47" w:line="269" w:lineRule="auto"/>
        <w:ind w:left="1292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36 miesięcy, maksymalnie 60 miesięcy). </w:t>
      </w:r>
    </w:p>
    <w:p w14:paraId="56A1427D" w14:textId="77777777" w:rsidR="00854F0C" w:rsidRPr="00854F0C" w:rsidRDefault="00854F0C" w:rsidP="00854F0C">
      <w:pPr>
        <w:spacing w:after="47" w:line="269" w:lineRule="auto"/>
        <w:ind w:left="425" w:right="821" w:firstLine="85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G max – najdłuższy okres gwarancji spośród badanych ofert. 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Uwaga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0380A116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Łączny okres gwarancji musi być podany w Formularzu ofertowym w pełnych miesiącach (minimum 36 miesięcy, maksymalnie 60 miesięcy). </w:t>
      </w:r>
    </w:p>
    <w:p w14:paraId="78B07D24" w14:textId="37C424B0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nie poda terminu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gwarancji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to Zamawiający  w kryterium „okres gwarancji” przyjmie do oceny ofert minimalny okres gwarancji, tj. 36 miesięcy.  </w:t>
      </w:r>
    </w:p>
    <w:p w14:paraId="25BDB81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poda okres krótszy od wymaganego minimalnego okresu lub okres dłuższy od wymaganego maksymalnego okresu, jego oferta zostanie odrzucona.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istnieją przesłanki przemawiające za tym, że wybór danej oferty nie gwarantuje oszczędnego wydatkowania środków, </w:t>
      </w:r>
    </w:p>
    <w:p w14:paraId="1D5F62D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</w:p>
    <w:p w14:paraId="6F60CEF7" w14:textId="77777777" w:rsidR="00854F0C" w:rsidRPr="00854F0C" w:rsidRDefault="00854F0C" w:rsidP="00854F0C">
      <w:pPr>
        <w:spacing w:after="47" w:line="269" w:lineRule="auto"/>
        <w:ind w:left="860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1DE3C0ED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21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12 kwietnia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73082AA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</w:p>
    <w:p w14:paraId="1B59D5D0" w14:textId="35EC54A4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„</w:t>
      </w:r>
      <w:r w:rsidR="0003659D">
        <w:rPr>
          <w:rFonts w:ascii="Arial" w:eastAsia="Arial" w:hAnsi="Arial" w:cs="Arial"/>
          <w:b/>
          <w:color w:val="000000"/>
          <w:sz w:val="24"/>
          <w:lang w:eastAsia="pl-PL"/>
        </w:rPr>
        <w:t>Przebudowa i remont budynku gospodarczego</w:t>
      </w:r>
      <w:r w:rsidR="00CF58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leśnictwie Regity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(t.j. Dz. U. z 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dalej 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07B8FAD7" w14:textId="601FAFCF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„</w:t>
      </w:r>
      <w:r w:rsidR="00CF5885">
        <w:rPr>
          <w:rFonts w:ascii="Arial" w:eastAsia="Arial" w:hAnsi="Arial" w:cs="Arial"/>
          <w:b/>
          <w:color w:val="000000"/>
          <w:sz w:val="24"/>
          <w:lang w:eastAsia="pl-PL"/>
        </w:rPr>
        <w:t>Budowa wiaty edukacyjno-turystycznej w leśnictwie Regity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32059C77" w:rsidR="00854F0C" w:rsidRPr="00854F0C" w:rsidRDefault="00CF5885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Dokumentacja projektowo-techniczna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3659D"/>
    <w:rsid w:val="000603ED"/>
    <w:rsid w:val="00100F8C"/>
    <w:rsid w:val="001912CC"/>
    <w:rsid w:val="00220CFD"/>
    <w:rsid w:val="00627942"/>
    <w:rsid w:val="00690D5E"/>
    <w:rsid w:val="00854F0C"/>
    <w:rsid w:val="00B26FA8"/>
    <w:rsid w:val="00BA61D5"/>
    <w:rsid w:val="00C23380"/>
    <w:rsid w:val="00CF5885"/>
    <w:rsid w:val="00DB57A9"/>
    <w:rsid w:val="00F23AB3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11</cp:revision>
  <dcterms:created xsi:type="dcterms:W3CDTF">2022-11-30T08:15:00Z</dcterms:created>
  <dcterms:modified xsi:type="dcterms:W3CDTF">2023-09-18T07:26:00Z</dcterms:modified>
</cp:coreProperties>
</file>