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71" w:rsidRPr="00ED18A5" w:rsidRDefault="00ED18A5">
      <w:pPr>
        <w:rPr>
          <w:rFonts w:asciiTheme="minorHAnsi" w:hAnsiTheme="minorHAnsi" w:cstheme="minorHAnsi"/>
          <w:sz w:val="20"/>
          <w:szCs w:val="20"/>
        </w:rPr>
      </w:pPr>
      <w:r w:rsidRPr="00ED18A5">
        <w:rPr>
          <w:rFonts w:asciiTheme="minorHAnsi" w:hAnsiTheme="minorHAnsi" w:cstheme="minorHAnsi"/>
          <w:sz w:val="20"/>
          <w:szCs w:val="20"/>
        </w:rPr>
        <w:t xml:space="preserve">Formularz cen jednostkowych </w:t>
      </w:r>
    </w:p>
    <w:tbl>
      <w:tblPr>
        <w:tblW w:w="9270" w:type="dxa"/>
        <w:tblInd w:w="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3695"/>
        <w:gridCol w:w="709"/>
        <w:gridCol w:w="1417"/>
        <w:gridCol w:w="1418"/>
        <w:gridCol w:w="1559"/>
      </w:tblGrid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ED18A5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Lp.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ED18A5">
            <w:pPr>
              <w:keepNext/>
              <w:widowControl w:val="0"/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  <w:t>Asortyment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ED18A5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Jedn.</w:t>
            </w:r>
          </w:p>
          <w:p w:rsidR="00ED18A5" w:rsidRPr="00ED18A5" w:rsidRDefault="00ED18A5" w:rsidP="00ED18A5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miary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ED18A5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18A5">
              <w:rPr>
                <w:rFonts w:asciiTheme="minorHAnsi" w:hAnsiTheme="minorHAnsi" w:cstheme="minorHAnsi"/>
                <w:sz w:val="18"/>
                <w:szCs w:val="18"/>
                <w:lang w:bidi="hi-IN"/>
              </w:rPr>
              <w:t>Przewidywane zapotrzebowanie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A5" w:rsidRPr="00ED18A5" w:rsidRDefault="00ED18A5" w:rsidP="00ED18A5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Cena jednostkowa netto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A5" w:rsidRDefault="00ED18A5" w:rsidP="00ED18A5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Razem</w:t>
            </w:r>
          </w:p>
          <w:p w:rsidR="00ED18A5" w:rsidRPr="00ED18A5" w:rsidRDefault="00ED18A5" w:rsidP="00ED18A5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(4x5)</w:t>
            </w: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ED18A5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ED18A5">
            <w:pPr>
              <w:keepNext/>
              <w:widowControl w:val="0"/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ED18A5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ED18A5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A5" w:rsidRDefault="00ED18A5" w:rsidP="00ED18A5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8A5" w:rsidRPr="00ED18A5" w:rsidRDefault="00ED18A5" w:rsidP="00ED18A5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6</w:t>
            </w: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Ubranie robocze bluza do pasa, spodnie ogrodniczki wykonane z tkaniny poliestrowo – bawełnianej. Bluza zapinana na guziki osłonięte listwą, wykończona kołnierzem, rękawy zakończone mankietem zapinanym na guzik. Spodnie ogrodniczki regulowane szelki z gumą oraz po boku możliwość regulacji szerokości pasa, taśma odblaskowa szerokości 8 cm wszyta na poziomie łydki. Na plecach bluzy nadruk logo Zamawiającego. Kolor ubrania stalowo - szary z pomarańczowymi elementami. Zgodnie z normą EN ISO 13688:2013</w:t>
            </w:r>
            <w:r w:rsidRPr="00ED18A5"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szt.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2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Kurtka ocieplana dla kierowcy: skład bawełna 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i poliester (wodoodporna) kolor ciemnoszary, odpinana ocieplona podszewka z kożuszka, zapięcie na suwak, respiratory powietrza, mankiet oraz dolna część kurtki zakończona ściągaczem, futrzany odpinany kołnierz, odpinane rękawy. </w:t>
            </w: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br/>
            </w:r>
            <w:r w:rsidRPr="00ED18A5"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  <w:t>Na plecach kurtki umieszczone Logo Zamawiającego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szt.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55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3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Rękawice wykonane z dzianiny bawełnianej, powlekane lateksem – uniwersalne </w:t>
            </w:r>
            <w:proofErr w:type="spellStart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wampirki</w:t>
            </w:r>
            <w:proofErr w:type="spellEnd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, zakończone ściągaczem, bezszwowe.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par</w:t>
            </w:r>
          </w:p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5 000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4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Rękawice ochronne wykonane z dzianiny bawełniano-poliestrowej, w części chwytnej powlekane lateksem. Powłoka lateksowa dodatkowo </w:t>
            </w:r>
            <w:proofErr w:type="spellStart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szorstkowana</w:t>
            </w:r>
            <w:proofErr w:type="spellEnd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, zakończona ściągaczem, bezszwowe, elastyczne, odporne na ścieranie i rozerwanie. Dobrze dopasowują się do dłoni. </w:t>
            </w:r>
            <w:proofErr w:type="spellStart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Szorstkowana</w:t>
            </w:r>
            <w:proofErr w:type="spellEnd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powłoka lateksowa zapewnia zręczność i pewny chwyt trzymanych przedmiotów, zmniejsza wnikanie brudu. Spełnia zasadnicze wymagania bezpieczeństwa i ochrony zdrowia zawarte w rozporządzeniu Parlamenty Europejskiego i Rady (UE) 2016/425 w sprawie środków ochrony </w:t>
            </w: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lastRenderedPageBreak/>
              <w:t>indywidualnej oraz uchylenia dyrektywy Rady 89/686/EWG i jest zgodny z normą: EN 420:2003+AI:2009, PN-EN 420+A1:2012.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lastRenderedPageBreak/>
              <w:t>par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8 400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lastRenderedPageBreak/>
              <w:t>5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Rękawice ocieplane, rękawice ochronne, ocieplane, dziane, powlekane spienionym lateksem, powłoka </w:t>
            </w:r>
            <w:proofErr w:type="spellStart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szorstkowana</w:t>
            </w:r>
            <w:proofErr w:type="spellEnd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. Wykonane z poliestrowej dzianiny (od strony wewnętrznej dzianina poliestrowa frotte), powlekane spienionym lateksem na ½ powierzchni rękawicy, powłoka lateksowa </w:t>
            </w:r>
            <w:proofErr w:type="spellStart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szorstkowana</w:t>
            </w:r>
            <w:proofErr w:type="spellEnd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, zakończona ściągaczem. EN 420:2003+A1:2009.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6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Rękawice drelichowe wzmacniane skórą bydlęcą- odporność na ścieranie (3), przecięcie(1), rozdzieranie(3), przekłucia(2),   muszą być zgodne z normą EN 420.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7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Rękawice ocieplane wzmacniane skórą bydlęcą- odporność na ścieranie (3), przecięcie(1), rozdzieranie(3), przekłucia(2), podstawowe wymogi rękawic muszą być zgodne z normą EN 420 oraz normą EN 511.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8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Rękawice ochronne wykonane z PCV- odporność na ścieranie(4),przecięcie(1), rozdzieranie(2), przekłucia(1), podstawowe wymogi rękawic muszą być zgodne z normą EN 420.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9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Rękawice ocieplane wykonane z PCV – odporność na ścieranie, przecięcie, rozdzieranie i przekłucia zgodnie z normą EN 388, podstawowe wymogi rękawic muszą być </w:t>
            </w:r>
            <w:proofErr w:type="spellStart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zg</w:t>
            </w:r>
            <w:proofErr w:type="spellEnd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. z normą EN 420.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10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Rękawice antywibracyjne, ochronne, polimerowe tworzywo lateksowe redukujące i tłumiące drgania.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11</w:t>
            </w:r>
          </w:p>
        </w:tc>
        <w:tc>
          <w:tcPr>
            <w:tcW w:w="3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Rękawice lateksowe, ochronne, </w:t>
            </w:r>
            <w:proofErr w:type="spellStart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bezpudrowe</w:t>
            </w:r>
            <w:proofErr w:type="spellEnd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do użytku jednorazowego.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op.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1129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12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Komplet przeciwdeszczowy – marynarka + spodnie z poliestru powlekanego PCV, podwójna warstwa PCV o grubości 0,32 mm wzmocniona poliestrem, kaptur przyszyty na stałe, zamek błyskawiczny pod patką zapinana na zatrzaski, rękawy reglanowe z wewnętrznym mankietem chroniącym przed wiatrem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szt.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13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Kamizelka ciepłochronna drelichowa zapinana na </w:t>
            </w:r>
            <w:proofErr w:type="spellStart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na</w:t>
            </w:r>
            <w:proofErr w:type="spellEnd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suwak kryty klapą z napami, wykończona pod szyją stójka, dół </w:t>
            </w: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lastRenderedPageBreak/>
              <w:t xml:space="preserve">bezrękawnika dopasowany za pomocą gumek umieszczonych z tyłu bezrękawnika przy szwach bocznych, przedłużony tył bezrękawnika.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lastRenderedPageBreak/>
              <w:t>szt.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lastRenderedPageBreak/>
              <w:t>14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Kamizelka ostrzegawcza wykonana z wysokiej jakości poliestrowej dzianiny w kolorze pomarańczowym fluorescencyjnym z dwoma pasami odblaskowymi, zapinana z przodu na rzep. Normy: EN ISO 13688:2013, EN ISO 20471:2013. Kamizelka ma zapewnić wysoka widoczność oraz duży komfort użytkownika.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</w:t>
            </w:r>
            <w:r w:rsidRPr="00ED18A5"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  <w:t>Na plecach Logo Zamawiającego</w:t>
            </w: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szt.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15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Koszula flanelowa wykonana z tkaniny flanelowej w kratę o składzie 100% bawełna, zapinana z przodu na guziki, długi rękaw zakończony mankietem zapinanym na guziki.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szt.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686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16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Koszulka krótki rękaw, gramatura 160 g/m 2. Skład 100% bawełna wysokiej jakości, oddychający materiał. Okrągły dekolt.    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Kolor ciemnoszary z umieszczonym </w:t>
            </w:r>
            <w:r w:rsidRPr="00ED18A5"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  <w:t xml:space="preserve">Logo Zamawiającego na plecach, z przodu na piersi po prawej stronie. 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szt.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17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Kalesony robocze kolor wykonane z dzianiny o składzie 100% bawełna, z rozporkiem 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na zakładkę, nogawki zakończone ściągaczem, gumka w pasie. EN ISO 13688:2013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szt.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60</w:t>
            </w:r>
          </w:p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18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Ubranie ocieplane gr 280. podwójne szwy oraz ryglówki wzmacniające dodatkowo miejsca szczególnie narażone na rozerwanie, bardzo niska kurczliwość, nawet po wielokrotnym praniu, stabilność koloru, doskonała funkcjonalność i wygoda użytkownika. Bluza zapinana na zamek błyskawiczny kryty listwą zapinana na guziki i rzep, ocieplany kaptur ściągany sznurkiem, odpinany na guziki, rękawy zakończone mankietem zapinanym na guziki, elastyczne gumki po bokach u dołu bluzy, pozwalające na wygodne dopasowanie bluzy, rękawy dodatkowo wzmocnione na łokciach, kieszenie zewnętrzne w tym dwie z patkami na klatce piersiowej. Ogrodniczki: regulacja </w:t>
            </w: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lastRenderedPageBreak/>
              <w:t>szerokości dołu nogawki, nogawki dodatkowo wzmocnione na kolanach, 3 kieszenie w tym jedna zamykana na rzep z boku nogawki, na wysokości łydki wszyta 8 cm taśma odblaskowa.  Kolor stalowo-szary, dodatki pomarańczowe.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  <w:t>Na plecach kurtki umieszczone Logo Zamawiającego.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szt.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lastRenderedPageBreak/>
              <w:t>19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Kombinezon jednorazowy- kombinezon 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z włókniny polipropylenowej z okrągłym kołnierzem, gramatura materiału 45 g/m2, bez kaptura, elastyczny ściągacz w nadgarstkach.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szt.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20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Czapka ocieplana dziana wykonana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z dwuwarstwowej dzianiny 100% poliester, gruba, ciepła, kolor ciemnoszary.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szt.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20</w:t>
            </w:r>
          </w:p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21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Czapka letnia typu baseball - kolor ciemnoszary, 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półokrągły daszek, regulacja obwodu głowy, usztywnienie czoła – </w:t>
            </w:r>
            <w:proofErr w:type="spellStart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soft</w:t>
            </w:r>
            <w:proofErr w:type="spellEnd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szt.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22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Fartuch wykonany z wysokiej jakości materiału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o dużej gramaturze 280 gr/1m2. 65% poliestru, 35% bawełny, kolor ciemnoszary. </w:t>
            </w:r>
            <w:r w:rsidRPr="00ED18A5"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  <w:t>Na plecach umieszczone Logo Zamawiającego</w:t>
            </w: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szt.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23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Gumofilce</w:t>
            </w:r>
            <w:proofErr w:type="spellEnd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= ocieplane wkładem filcowym oraz wkładką, podeszwa urzeźbiona dobrze przyczepna.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24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Trzewiki bez podnoska zawodowe kategorii OB FO SRC E wykonane ze skóry na podeszwie z dwustronnego poliuretanu (PU/PU), cholewki wykonane ze skór naturalnych, górna część cholewki zakończona przyjaznym dla nogi kołnierzem ochronnym, podszewka </w:t>
            </w:r>
            <w:proofErr w:type="spellStart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obłożyny</w:t>
            </w:r>
            <w:proofErr w:type="spellEnd"/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z materiału Super </w:t>
            </w:r>
            <w:proofErr w:type="spellStart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Royal</w:t>
            </w:r>
            <w:proofErr w:type="spellEnd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o dużej  przepuszczalności pary wodnej, skutecznie odprowadzająca wilgoć, bardzo dobre właściwości higieniczne obuwia, podeszwa 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odporna na oleje, benzynę  i inne rozpuszczalniki organiczne oraz temperaturę w krótkotrwałym kontakcie do 180°C, pochłania energię w części piętowej, trwałe i wytrzymałe, nieprzemakalne od podłoża, lekkie, elastyczne, wyjmowana wyściółka.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90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1584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lastRenderedPageBreak/>
              <w:t>25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Trzewiki z </w:t>
            </w:r>
            <w:proofErr w:type="spellStart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podnoskiem</w:t>
            </w:r>
            <w:proofErr w:type="spellEnd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– bezpieczne z podeszwą z dwuwarstwowego poliuretanu PU/PU odpornego na oleje, smary, benzynę i inne rozpuszczalniki organiczne(na styku z podłożem- chroniąca przed poślizgiem warstwa litego poliuretanu, charakteryzującego się dużą odpornością na ścieranie, pękanie i przecinanie, warstwa wewnętrzna poliuretanu spienionego, sprawia natomiast, ze obuwie jest lekkie, elastyczne i skutecznie łagodzi nierówności podłoża). Cholewki wykonane ze skór naturalnych, przyjazny dla nogi kołnierz ochronny ze skór ekologicznych. Podszewka </w:t>
            </w:r>
            <w:proofErr w:type="spellStart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obłożyny</w:t>
            </w:r>
            <w:proofErr w:type="spellEnd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z materiału Super </w:t>
            </w:r>
            <w:proofErr w:type="spellStart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Royal</w:t>
            </w:r>
            <w:proofErr w:type="spellEnd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o dużej przepuszczalności pary wodnej, skutecznie odprowadzająca wilgoć. Podeszwy odporne na temperaturę w krótkotrwałym kontakcie do180°C pochłaniające energię w części piętowej, nieprzemakalne od podłoża. Metalowy podnosek chroni przed uderzeniami z energią do 200 J lub siłą nacisku do 15 </w:t>
            </w:r>
            <w:proofErr w:type="spellStart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Kn</w:t>
            </w:r>
            <w:proofErr w:type="spellEnd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antyelektrostatyczne, lekkie elastyczne. Wymienna wyściółka. Obuwie spełnia najnowsze wymagania w zakresie odporności na poślizg w najwyższej kategorii SRC (czyli na podłożu ceramicznym i stalowym).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Zgodność z normami: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PN-EN ISO 20345, S1, SRC.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26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Buty gumowe – wodoodporne, antypoślizgowe, całkowicie wulkanizowane.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27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Trzewiki bez podnoska zawodowe, ocieplone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z podeszwą z dwuwarstwowego poliuretanu (PU/PU), odpornego na oleje, smary, benzynę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i inne rozpuszczalniki organiczne (na styku z podłożem – chroniąca przed poślizgiem warstwa litego poliuretanu, charakteryzującego się dużą odpornością na ścieranie, pękanie i przecinanie, warstwa wewnętrzna poliuretanu spienionego, sprawia natomiast, że obuwie jest lekkie, elastyczne i skutecznie łagodzi nierówności podłoża). Wierzch obuwia jak i miechowy język są wykonane ze skór naturalnych. Górna część cholewki zakończona przyjaznym dla nogi kołnierzem </w:t>
            </w: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lastRenderedPageBreak/>
              <w:t>ochronnym, wypełnionym pianka lateksową. Podszewka jak i wyściółka izolująca od podłoża zrobione są z materiału ocieplającego. Głęboki protektor i paraboliczny oraz duży komfort chodzenia. Specjalnie wyprofilowany obcas dodatkowo ma chronić nogę przed skręceniem w kostce.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Dzięki dwustopniowemu </w:t>
            </w:r>
            <w:proofErr w:type="spellStart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Shockabsorberowi</w:t>
            </w:r>
            <w:proofErr w:type="spellEnd"/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, umiejscowionemu w pięcie, wstrząsy są znacznie redukowane.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Nieprzemakalne od podłoża, antyelektrostatyczne. Norma :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PN-EN 347-1, 01, CI.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lastRenderedPageBreak/>
              <w:t>par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lastRenderedPageBreak/>
              <w:t>28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Półbuty skórzane: skóra licowa, podszewka skórzana.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29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Drewniaki – stosowane  przy pracach drogowych do chodzenia po gorącym asfalcie.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30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Nakolanniki – ochraniacz kolana zbudowany 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z wysokiej jakości tworzywa sztucznego , miękkiej poduszki przy kolanowej, która zapewnia pełną swobodę ruchu oraz pasków mocujących, które umożliwią zamocowanie ochraniaczy.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31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Kask – wykonany z tworzywa HDPE.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Wyposażenie – 6 otworów wentylacyjnych, otworów na bokach umożliwiających zamocowanie dodatkowych akcesoriów(np. nauszników przeciwhałasowych.)Regulacja rozmiaru za pomocą pokrętła umieszczonego na pasie tylnym, zakres regulacji: 56 cm – 62 cm, pasek podbródkowy z możliwością regulacji długości. Rynienka wokół czaszy hełmu.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szt.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32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Ochronniki słuchu – przeciwhałasowe z opaską zakładaną na głowę. Czasze wykonane z tworzywa ABS, wypełnienie poduszek i czasz wykonane z pianki PU, opaska wykonana z tworzywa POM. Wzmocniony pałąk z płynną regulacją, pozwala na łatwe dopasowanie czasz tłumiących.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szt.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33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Okulary ochronne – ALTIMETER    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-klasa optyczna 1,</w:t>
            </w:r>
          </w:p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-zgodne z normą EN 166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szt.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34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Okulary przeciwsłoneczne – panoramiczna szyba poliwęglanowa.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szt.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lastRenderedPageBreak/>
              <w:t>35</w:t>
            </w:r>
          </w:p>
        </w:tc>
        <w:tc>
          <w:tcPr>
            <w:tcW w:w="3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keepNext/>
              <w:widowControl w:val="0"/>
              <w:spacing w:before="240" w:after="120"/>
              <w:ind w:left="2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  <w:t>Spodnie ogrodniczki wykonane z tkaniny poliestrowo – bawełnianej, regulowane szelki z gumą oraz po boku możliwość regulacji szerokości pasa, taśma odblaskowa szerokości 8 cm wszyta na poziomie łydki. Kolor stalowo – szary z pomarańczowymi elementami. Norma EN ISO 13688:2013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szt.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20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36</w:t>
            </w:r>
          </w:p>
        </w:tc>
        <w:tc>
          <w:tcPr>
            <w:tcW w:w="3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Mydło w płynie w pojemnikach 5 l.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l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220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37</w:t>
            </w:r>
          </w:p>
        </w:tc>
        <w:tc>
          <w:tcPr>
            <w:tcW w:w="3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Pasta bhp ścierna – 500gr 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szt.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200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38</w:t>
            </w:r>
          </w:p>
        </w:tc>
        <w:tc>
          <w:tcPr>
            <w:tcW w:w="3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Pasta bhp mydlana – 500 g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szt.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300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472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39</w:t>
            </w:r>
          </w:p>
        </w:tc>
        <w:tc>
          <w:tcPr>
            <w:tcW w:w="3695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Ręcznik bhp 50x100 cm – frotowy- dwustronny gramatura 380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szt.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18A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100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ED18A5" w:rsidRPr="00ED18A5" w:rsidTr="00ED18A5">
        <w:trPr>
          <w:trHeight w:val="340"/>
        </w:trPr>
        <w:tc>
          <w:tcPr>
            <w:tcW w:w="7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A5" w:rsidRPr="00ED18A5" w:rsidRDefault="00ED18A5" w:rsidP="00ED18A5">
            <w:pPr>
              <w:widowControl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A5" w:rsidRPr="00ED18A5" w:rsidRDefault="00ED18A5" w:rsidP="00627E7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</w:tbl>
    <w:p w:rsidR="00ED18A5" w:rsidRPr="00ED18A5" w:rsidRDefault="00ED18A5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ED18A5" w:rsidRPr="00ED1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17597"/>
    <w:multiLevelType w:val="multilevel"/>
    <w:tmpl w:val="2EB6521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A5"/>
    <w:rsid w:val="00265E75"/>
    <w:rsid w:val="00B21F71"/>
    <w:rsid w:val="00ED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8A5"/>
    <w:pPr>
      <w:suppressAutoHyphens/>
    </w:pPr>
    <w:rPr>
      <w:rFonts w:ascii="Calibri" w:eastAsia="Courier New" w:hAnsi="Calibri" w:cs="Calibri"/>
      <w:kern w:val="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5E75"/>
    <w:pPr>
      <w:keepNext/>
      <w:numPr>
        <w:numId w:val="9"/>
      </w:numPr>
      <w:suppressAutoHyphens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5E75"/>
    <w:pPr>
      <w:keepNext/>
      <w:numPr>
        <w:ilvl w:val="1"/>
        <w:numId w:val="9"/>
      </w:numPr>
      <w:suppressAutoHyphens w:val="0"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5E75"/>
    <w:pPr>
      <w:keepNext/>
      <w:numPr>
        <w:ilvl w:val="2"/>
        <w:numId w:val="9"/>
      </w:numPr>
      <w:suppressAutoHyphens w:val="0"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E75"/>
    <w:pPr>
      <w:keepNext/>
      <w:numPr>
        <w:ilvl w:val="3"/>
        <w:numId w:val="9"/>
      </w:numPr>
      <w:suppressAutoHyphens w:val="0"/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kern w:val="0"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5E75"/>
    <w:pPr>
      <w:numPr>
        <w:ilvl w:val="4"/>
        <w:numId w:val="9"/>
      </w:numPr>
      <w:suppressAutoHyphens w:val="0"/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kern w:val="0"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265E75"/>
    <w:pPr>
      <w:numPr>
        <w:ilvl w:val="5"/>
        <w:numId w:val="9"/>
      </w:numPr>
      <w:suppressAutoHyphens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5E75"/>
    <w:pPr>
      <w:numPr>
        <w:ilvl w:val="6"/>
        <w:numId w:val="9"/>
      </w:numPr>
      <w:suppressAutoHyphens w:val="0"/>
      <w:spacing w:before="240" w:after="60" w:line="240" w:lineRule="auto"/>
      <w:outlineLvl w:val="6"/>
    </w:pPr>
    <w:rPr>
      <w:rFonts w:asciiTheme="minorHAnsi" w:eastAsiaTheme="minorEastAsia" w:hAnsiTheme="minorHAnsi" w:cstheme="minorBidi"/>
      <w:kern w:val="0"/>
      <w:sz w:val="24"/>
      <w:szCs w:val="24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65E75"/>
    <w:pPr>
      <w:numPr>
        <w:ilvl w:val="7"/>
        <w:numId w:val="9"/>
      </w:numPr>
      <w:suppressAutoHyphens w:val="0"/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kern w:val="0"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5E75"/>
    <w:pPr>
      <w:numPr>
        <w:ilvl w:val="8"/>
        <w:numId w:val="1"/>
      </w:numPr>
      <w:suppressAutoHyphens w:val="0"/>
      <w:spacing w:before="240" w:after="60" w:line="240" w:lineRule="auto"/>
      <w:outlineLvl w:val="8"/>
    </w:pPr>
    <w:rPr>
      <w:rFonts w:asciiTheme="majorHAnsi" w:eastAsiaTheme="majorEastAsia" w:hAnsiTheme="majorHAnsi" w:cstheme="majorBidi"/>
      <w:kern w:val="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5E7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5E7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5E7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E75"/>
    <w:rPr>
      <w:rFonts w:eastAsiaTheme="minorEastAsia"/>
      <w:b/>
      <w:bCs/>
      <w:sz w:val="28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5E7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265E7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5E75"/>
    <w:rPr>
      <w:rFonts w:eastAsiaTheme="minorEastAsia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rsid w:val="00265E75"/>
    <w:rPr>
      <w:rFonts w:eastAsiaTheme="minorEastAsia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5E75"/>
    <w:rPr>
      <w:rFonts w:asciiTheme="majorHAnsi" w:eastAsiaTheme="majorEastAsia" w:hAnsiTheme="majorHAnsi" w:cstheme="majorBidi"/>
      <w:lang w:val="en-US"/>
    </w:rPr>
  </w:style>
  <w:style w:type="paragraph" w:styleId="Tytu">
    <w:name w:val="Title"/>
    <w:basedOn w:val="Normalny"/>
    <w:next w:val="Normalny"/>
    <w:link w:val="TytuZnak"/>
    <w:qFormat/>
    <w:rsid w:val="00265E75"/>
    <w:pPr>
      <w:keepNext/>
      <w:keepLines/>
      <w:suppressAutoHyphens w:val="0"/>
      <w:spacing w:after="60"/>
    </w:pPr>
    <w:rPr>
      <w:rFonts w:ascii="Arial" w:eastAsia="Arial" w:hAnsi="Arial" w:cs="Arial"/>
      <w:kern w:val="0"/>
      <w:sz w:val="52"/>
      <w:szCs w:val="52"/>
      <w:lang w:val="pl"/>
    </w:rPr>
  </w:style>
  <w:style w:type="character" w:customStyle="1" w:styleId="TytuZnak">
    <w:name w:val="Tytuł Znak"/>
    <w:basedOn w:val="Domylnaczcionkaakapitu"/>
    <w:link w:val="Tytu"/>
    <w:rsid w:val="00265E75"/>
    <w:rPr>
      <w:rFonts w:ascii="Arial" w:eastAsia="Arial" w:hAnsi="Arial" w:cs="Arial"/>
      <w:sz w:val="52"/>
      <w:szCs w:val="52"/>
      <w:lang w:val="pl" w:eastAsia="pl-PL"/>
    </w:rPr>
  </w:style>
  <w:style w:type="paragraph" w:styleId="Akapitzlist">
    <w:name w:val="List Paragraph"/>
    <w:basedOn w:val="Normalny"/>
    <w:link w:val="AkapitzlistZnak"/>
    <w:qFormat/>
    <w:rsid w:val="00265E75"/>
    <w:pPr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character" w:customStyle="1" w:styleId="AkapitzlistZnak">
    <w:name w:val="Akapit z listą Znak"/>
    <w:link w:val="Akapitzlist"/>
    <w:locked/>
    <w:rsid w:val="00265E7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8A5"/>
    <w:pPr>
      <w:suppressAutoHyphens/>
    </w:pPr>
    <w:rPr>
      <w:rFonts w:ascii="Calibri" w:eastAsia="Courier New" w:hAnsi="Calibri" w:cs="Calibri"/>
      <w:kern w:val="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5E75"/>
    <w:pPr>
      <w:keepNext/>
      <w:numPr>
        <w:numId w:val="9"/>
      </w:numPr>
      <w:suppressAutoHyphens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5E75"/>
    <w:pPr>
      <w:keepNext/>
      <w:numPr>
        <w:ilvl w:val="1"/>
        <w:numId w:val="9"/>
      </w:numPr>
      <w:suppressAutoHyphens w:val="0"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5E75"/>
    <w:pPr>
      <w:keepNext/>
      <w:numPr>
        <w:ilvl w:val="2"/>
        <w:numId w:val="9"/>
      </w:numPr>
      <w:suppressAutoHyphens w:val="0"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E75"/>
    <w:pPr>
      <w:keepNext/>
      <w:numPr>
        <w:ilvl w:val="3"/>
        <w:numId w:val="9"/>
      </w:numPr>
      <w:suppressAutoHyphens w:val="0"/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kern w:val="0"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5E75"/>
    <w:pPr>
      <w:numPr>
        <w:ilvl w:val="4"/>
        <w:numId w:val="9"/>
      </w:numPr>
      <w:suppressAutoHyphens w:val="0"/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kern w:val="0"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265E75"/>
    <w:pPr>
      <w:numPr>
        <w:ilvl w:val="5"/>
        <w:numId w:val="9"/>
      </w:numPr>
      <w:suppressAutoHyphens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5E75"/>
    <w:pPr>
      <w:numPr>
        <w:ilvl w:val="6"/>
        <w:numId w:val="9"/>
      </w:numPr>
      <w:suppressAutoHyphens w:val="0"/>
      <w:spacing w:before="240" w:after="60" w:line="240" w:lineRule="auto"/>
      <w:outlineLvl w:val="6"/>
    </w:pPr>
    <w:rPr>
      <w:rFonts w:asciiTheme="minorHAnsi" w:eastAsiaTheme="minorEastAsia" w:hAnsiTheme="minorHAnsi" w:cstheme="minorBidi"/>
      <w:kern w:val="0"/>
      <w:sz w:val="24"/>
      <w:szCs w:val="24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65E75"/>
    <w:pPr>
      <w:numPr>
        <w:ilvl w:val="7"/>
        <w:numId w:val="9"/>
      </w:numPr>
      <w:suppressAutoHyphens w:val="0"/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kern w:val="0"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5E75"/>
    <w:pPr>
      <w:numPr>
        <w:ilvl w:val="8"/>
        <w:numId w:val="1"/>
      </w:numPr>
      <w:suppressAutoHyphens w:val="0"/>
      <w:spacing w:before="240" w:after="60" w:line="240" w:lineRule="auto"/>
      <w:outlineLvl w:val="8"/>
    </w:pPr>
    <w:rPr>
      <w:rFonts w:asciiTheme="majorHAnsi" w:eastAsiaTheme="majorEastAsia" w:hAnsiTheme="majorHAnsi" w:cstheme="majorBidi"/>
      <w:kern w:val="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5E7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5E7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5E7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E75"/>
    <w:rPr>
      <w:rFonts w:eastAsiaTheme="minorEastAsia"/>
      <w:b/>
      <w:bCs/>
      <w:sz w:val="28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5E7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265E7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5E75"/>
    <w:rPr>
      <w:rFonts w:eastAsiaTheme="minorEastAsia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rsid w:val="00265E75"/>
    <w:rPr>
      <w:rFonts w:eastAsiaTheme="minorEastAsia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5E75"/>
    <w:rPr>
      <w:rFonts w:asciiTheme="majorHAnsi" w:eastAsiaTheme="majorEastAsia" w:hAnsiTheme="majorHAnsi" w:cstheme="majorBidi"/>
      <w:lang w:val="en-US"/>
    </w:rPr>
  </w:style>
  <w:style w:type="paragraph" w:styleId="Tytu">
    <w:name w:val="Title"/>
    <w:basedOn w:val="Normalny"/>
    <w:next w:val="Normalny"/>
    <w:link w:val="TytuZnak"/>
    <w:qFormat/>
    <w:rsid w:val="00265E75"/>
    <w:pPr>
      <w:keepNext/>
      <w:keepLines/>
      <w:suppressAutoHyphens w:val="0"/>
      <w:spacing w:after="60"/>
    </w:pPr>
    <w:rPr>
      <w:rFonts w:ascii="Arial" w:eastAsia="Arial" w:hAnsi="Arial" w:cs="Arial"/>
      <w:kern w:val="0"/>
      <w:sz w:val="52"/>
      <w:szCs w:val="52"/>
      <w:lang w:val="pl"/>
    </w:rPr>
  </w:style>
  <w:style w:type="character" w:customStyle="1" w:styleId="TytuZnak">
    <w:name w:val="Tytuł Znak"/>
    <w:basedOn w:val="Domylnaczcionkaakapitu"/>
    <w:link w:val="Tytu"/>
    <w:rsid w:val="00265E75"/>
    <w:rPr>
      <w:rFonts w:ascii="Arial" w:eastAsia="Arial" w:hAnsi="Arial" w:cs="Arial"/>
      <w:sz w:val="52"/>
      <w:szCs w:val="52"/>
      <w:lang w:val="pl" w:eastAsia="pl-PL"/>
    </w:rPr>
  </w:style>
  <w:style w:type="paragraph" w:styleId="Akapitzlist">
    <w:name w:val="List Paragraph"/>
    <w:basedOn w:val="Normalny"/>
    <w:link w:val="AkapitzlistZnak"/>
    <w:qFormat/>
    <w:rsid w:val="00265E75"/>
    <w:pPr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character" w:customStyle="1" w:styleId="AkapitzlistZnak">
    <w:name w:val="Akapit z listą Znak"/>
    <w:link w:val="Akapitzlist"/>
    <w:locked/>
    <w:rsid w:val="00265E7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1545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Smolnicka</dc:creator>
  <cp:lastModifiedBy>Karolina Smolnicka</cp:lastModifiedBy>
  <cp:revision>1</cp:revision>
  <dcterms:created xsi:type="dcterms:W3CDTF">2023-11-15T07:51:00Z</dcterms:created>
  <dcterms:modified xsi:type="dcterms:W3CDTF">2023-11-15T07:55:00Z</dcterms:modified>
</cp:coreProperties>
</file>