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i/>
          <w:sz w:val="18"/>
          <w:szCs w:val="18"/>
        </w:rPr>
        <w:t>„</w:t>
      </w:r>
      <w:r w:rsidR="00D24CC0" w:rsidRPr="00D24CC0">
        <w:rPr>
          <w:rFonts w:ascii="Tahoma" w:hAnsi="Tahoma" w:cs="Tahoma"/>
          <w:b/>
          <w:i/>
          <w:sz w:val="18"/>
          <w:szCs w:val="18"/>
        </w:rPr>
        <w:t>Wykonanie prac remontowych/naprawczych siłowni zewnętrznych, placów zabaw i boisk sportowych na terenie gminy Wronki</w:t>
      </w:r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2.30.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  <w:bookmarkStart w:id="0" w:name="_GoBack"/>
      <w:bookmarkEnd w:id="0"/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2E3508"/>
    <w:rsid w:val="0043622C"/>
    <w:rsid w:val="0045780F"/>
    <w:rsid w:val="004908D9"/>
    <w:rsid w:val="00491C2F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CDA2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6</cp:revision>
  <cp:lastPrinted>2018-06-15T08:21:00Z</cp:lastPrinted>
  <dcterms:created xsi:type="dcterms:W3CDTF">2018-06-15T08:16:00Z</dcterms:created>
  <dcterms:modified xsi:type="dcterms:W3CDTF">2018-06-21T10:26:00Z</dcterms:modified>
</cp:coreProperties>
</file>