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00" w:rsidRPr="001653F0" w:rsidRDefault="006B2F00" w:rsidP="00BC310B">
      <w:pPr>
        <w:widowControl w:val="0"/>
        <w:autoSpaceDE w:val="0"/>
        <w:autoSpaceDN w:val="0"/>
        <w:adjustRightInd w:val="0"/>
        <w:jc w:val="both"/>
        <w:rPr>
          <w:rFonts w:cs="Calibri"/>
        </w:rPr>
      </w:pPr>
      <w:r w:rsidRPr="001653F0">
        <w:rPr>
          <w:rFonts w:cs="Calibri"/>
          <w:b/>
        </w:rPr>
        <w:t>Nr postępowania: GUM202</w:t>
      </w:r>
      <w:r>
        <w:rPr>
          <w:rFonts w:cs="Calibri"/>
          <w:b/>
        </w:rPr>
        <w:t>4</w:t>
      </w:r>
      <w:r w:rsidRPr="001653F0">
        <w:rPr>
          <w:rFonts w:cs="Calibri"/>
          <w:b/>
        </w:rPr>
        <w:t>ZP00</w:t>
      </w:r>
      <w:r w:rsidR="00A2528B">
        <w:rPr>
          <w:rFonts w:cs="Calibri"/>
          <w:b/>
        </w:rPr>
        <w:t>7</w:t>
      </w:r>
      <w:r w:rsidR="0096464B">
        <w:rPr>
          <w:rFonts w:cs="Calibri"/>
          <w:b/>
        </w:rPr>
        <w:t>5</w:t>
      </w:r>
      <w:r w:rsidRPr="001653F0">
        <w:rPr>
          <w:rFonts w:cs="Calibri"/>
        </w:rPr>
        <w:tab/>
      </w:r>
      <w:r w:rsidRPr="001653F0">
        <w:rPr>
          <w:rFonts w:cs="Calibri"/>
        </w:rPr>
        <w:tab/>
        <w:t xml:space="preserve">                    </w:t>
      </w:r>
      <w:r w:rsidR="00BC310B">
        <w:rPr>
          <w:rFonts w:cs="Calibri"/>
        </w:rPr>
        <w:t xml:space="preserve">                             </w:t>
      </w:r>
      <w:r w:rsidRPr="001653F0">
        <w:rPr>
          <w:rFonts w:cs="Calibri"/>
        </w:rPr>
        <w:t xml:space="preserve">Gdańsk, dnia </w:t>
      </w:r>
      <w:r w:rsidR="00BC135B">
        <w:rPr>
          <w:rFonts w:cs="Calibri"/>
        </w:rPr>
        <w:t>22</w:t>
      </w:r>
      <w:r>
        <w:rPr>
          <w:rFonts w:cs="Calibri"/>
        </w:rPr>
        <w:t>.0</w:t>
      </w:r>
      <w:r w:rsidR="00A2528B">
        <w:rPr>
          <w:rFonts w:cs="Calibri"/>
        </w:rPr>
        <w:t>7</w:t>
      </w:r>
      <w:r>
        <w:rPr>
          <w:rFonts w:cs="Calibri"/>
        </w:rPr>
        <w:t>.2024 r.</w:t>
      </w:r>
    </w:p>
    <w:p w:rsidR="006B2F00" w:rsidRPr="001653F0" w:rsidRDefault="006B2F00" w:rsidP="001A39CE">
      <w:pPr>
        <w:widowControl w:val="0"/>
        <w:autoSpaceDE w:val="0"/>
        <w:autoSpaceDN w:val="0"/>
        <w:adjustRightInd w:val="0"/>
        <w:spacing w:after="0" w:line="288" w:lineRule="auto"/>
        <w:rPr>
          <w:rFonts w:cs="Calibri"/>
          <w:b/>
        </w:rPr>
      </w:pPr>
    </w:p>
    <w:p w:rsidR="006B2F00" w:rsidRDefault="006B2F00" w:rsidP="006B2F00">
      <w:pPr>
        <w:widowControl w:val="0"/>
        <w:autoSpaceDE w:val="0"/>
        <w:autoSpaceDN w:val="0"/>
        <w:adjustRightInd w:val="0"/>
        <w:spacing w:after="0" w:line="288" w:lineRule="auto"/>
        <w:jc w:val="center"/>
        <w:rPr>
          <w:rFonts w:cs="Calibri"/>
          <w:b/>
        </w:rPr>
      </w:pPr>
    </w:p>
    <w:p w:rsidR="006B2F00" w:rsidRPr="001653F0" w:rsidRDefault="006B2F00" w:rsidP="006B2F00">
      <w:pPr>
        <w:widowControl w:val="0"/>
        <w:autoSpaceDE w:val="0"/>
        <w:autoSpaceDN w:val="0"/>
        <w:adjustRightInd w:val="0"/>
        <w:spacing w:after="0" w:line="288" w:lineRule="auto"/>
        <w:jc w:val="center"/>
        <w:rPr>
          <w:rFonts w:cs="Calibri"/>
          <w:b/>
        </w:rPr>
      </w:pPr>
      <w:r w:rsidRPr="001653F0">
        <w:rPr>
          <w:rFonts w:cs="Calibri"/>
          <w:b/>
        </w:rPr>
        <w:t>Do uczestników postępowania</w:t>
      </w:r>
    </w:p>
    <w:p w:rsidR="006B2F00" w:rsidRPr="001653F0" w:rsidRDefault="006B2F00" w:rsidP="00A2528B">
      <w:pPr>
        <w:widowControl w:val="0"/>
        <w:autoSpaceDE w:val="0"/>
        <w:autoSpaceDN w:val="0"/>
        <w:adjustRightInd w:val="0"/>
        <w:spacing w:after="0" w:line="288" w:lineRule="auto"/>
        <w:jc w:val="both"/>
        <w:rPr>
          <w:rFonts w:cs="Calibri"/>
          <w:bCs/>
        </w:rPr>
      </w:pPr>
    </w:p>
    <w:p w:rsidR="00DA52A9" w:rsidRPr="00A2528B" w:rsidRDefault="006B2F00" w:rsidP="00DA52A9">
      <w:pPr>
        <w:spacing w:after="0" w:line="288" w:lineRule="auto"/>
        <w:jc w:val="both"/>
        <w:rPr>
          <w:rFonts w:cstheme="minorHAnsi"/>
          <w:color w:val="1F1F1F"/>
        </w:rPr>
      </w:pPr>
      <w:r w:rsidRPr="00A2528B">
        <w:rPr>
          <w:rFonts w:eastAsia="Calibri" w:cs="Calibri"/>
        </w:rPr>
        <w:t xml:space="preserve">Dotyczy </w:t>
      </w:r>
      <w:r w:rsidRPr="00A2528B">
        <w:rPr>
          <w:rFonts w:eastAsia="Calibri" w:cs="Calibri"/>
          <w:iCs/>
        </w:rPr>
        <w:t xml:space="preserve">postępowania o udzielenie zamówienia na </w:t>
      </w:r>
      <w:r w:rsidR="00DA52A9" w:rsidRPr="00A2528B">
        <w:rPr>
          <w:rFonts w:cstheme="minorHAnsi"/>
          <w:color w:val="000000"/>
        </w:rPr>
        <w:t xml:space="preserve">wyprodukowanie placebo w formie tabletek </w:t>
      </w:r>
      <w:r w:rsidR="00DA52A9">
        <w:rPr>
          <w:rFonts w:cstheme="minorHAnsi"/>
          <w:color w:val="000000"/>
        </w:rPr>
        <w:t xml:space="preserve">                            </w:t>
      </w:r>
      <w:r w:rsidR="00DA52A9" w:rsidRPr="00A2528B">
        <w:rPr>
          <w:rFonts w:cstheme="minorHAnsi"/>
          <w:color w:val="1F1F1F"/>
        </w:rPr>
        <w:t xml:space="preserve">o wyglądzie identycznym do badanego produktu leczniczego </w:t>
      </w:r>
      <w:proofErr w:type="spellStart"/>
      <w:r w:rsidR="00DA52A9" w:rsidRPr="00A2528B">
        <w:rPr>
          <w:rFonts w:cstheme="minorHAnsi"/>
          <w:color w:val="1F1F1F"/>
        </w:rPr>
        <w:t>Betaloc</w:t>
      </w:r>
      <w:proofErr w:type="spellEnd"/>
      <w:r w:rsidR="00DA52A9" w:rsidRPr="00A2528B">
        <w:rPr>
          <w:rFonts w:cstheme="minorHAnsi"/>
          <w:color w:val="1F1F1F"/>
        </w:rPr>
        <w:t xml:space="preserve"> ZOK, oraz zaślepienie, przepakowanie i etykietowanie badanych produktów leczniczych/placebo</w:t>
      </w:r>
      <w:r w:rsidR="00DA52A9" w:rsidRPr="00A2528B">
        <w:t xml:space="preserve"> </w:t>
      </w:r>
      <w:r w:rsidR="00DA52A9" w:rsidRPr="00A2528B">
        <w:rPr>
          <w:rFonts w:cstheme="minorHAnsi"/>
          <w:color w:val="1F1F1F"/>
        </w:rPr>
        <w:t>wraz z ich zwolnieniem                                                                        do wskazanych przez Zamawiającego Ośrodków</w:t>
      </w:r>
      <w:r w:rsidR="00DA52A9">
        <w:rPr>
          <w:rFonts w:cstheme="minorHAnsi"/>
          <w:color w:val="1F1F1F"/>
        </w:rPr>
        <w:t>.</w:t>
      </w:r>
    </w:p>
    <w:p w:rsidR="006B2F00" w:rsidRPr="00A2528B" w:rsidRDefault="006B2F00" w:rsidP="00A2528B">
      <w:pPr>
        <w:spacing w:after="0" w:line="288" w:lineRule="auto"/>
        <w:jc w:val="both"/>
        <w:rPr>
          <w:rFonts w:cs="Calibri"/>
        </w:rPr>
      </w:pPr>
    </w:p>
    <w:p w:rsidR="0069799B" w:rsidRPr="00BC135B" w:rsidRDefault="0069799B" w:rsidP="00BC135B">
      <w:pPr>
        <w:keepNext/>
        <w:keepLines/>
        <w:shd w:val="clear" w:color="auto" w:fill="FFFFFF"/>
        <w:spacing w:after="0" w:line="288" w:lineRule="auto"/>
        <w:jc w:val="both"/>
        <w:outlineLvl w:val="2"/>
        <w:rPr>
          <w:rFonts w:eastAsiaTheme="minorHAnsi" w:cs="Calibri"/>
          <w:kern w:val="2"/>
          <w:lang w:eastAsia="en-US"/>
          <w14:ligatures w14:val="standardContextual"/>
        </w:rPr>
      </w:pPr>
      <w:r w:rsidRPr="0096464B">
        <w:rPr>
          <w:rFonts w:cs="Calibri"/>
        </w:rPr>
        <w:t xml:space="preserve">Gdański Uniwersytet Medyczny jako Zamawiający zawiadamia, iż na zgłoszone pisemnie pytania udziela odpowiedzi w oparciu o art. </w:t>
      </w:r>
      <w:r w:rsidR="006B2F00" w:rsidRPr="0096464B">
        <w:rPr>
          <w:rFonts w:cs="Calibri"/>
        </w:rPr>
        <w:t xml:space="preserve">135 ust. 2 </w:t>
      </w:r>
      <w:r w:rsidRPr="0096464B">
        <w:rPr>
          <w:rFonts w:eastAsiaTheme="minorHAnsi" w:cs="Calibri"/>
          <w:kern w:val="2"/>
          <w:lang w:eastAsia="en-US"/>
          <w14:ligatures w14:val="standardContextual"/>
        </w:rPr>
        <w:t xml:space="preserve">ustawy z dnia 11 września 2019 r. – Prawo zamówień publicznych (tekst jednolity Dz. U. z 2023 r. poz. 1605, z </w:t>
      </w:r>
      <w:proofErr w:type="spellStart"/>
      <w:r w:rsidRPr="0096464B">
        <w:rPr>
          <w:rFonts w:eastAsiaTheme="minorHAnsi" w:cs="Calibri"/>
          <w:kern w:val="2"/>
          <w:lang w:eastAsia="en-US"/>
          <w14:ligatures w14:val="standardContextual"/>
        </w:rPr>
        <w:t>późn</w:t>
      </w:r>
      <w:proofErr w:type="spellEnd"/>
      <w:r w:rsidRPr="0096464B">
        <w:rPr>
          <w:rFonts w:eastAsiaTheme="minorHAnsi" w:cs="Calibri"/>
          <w:kern w:val="2"/>
          <w:lang w:eastAsia="en-US"/>
          <w14:ligatures w14:val="standardContextual"/>
        </w:rPr>
        <w:t xml:space="preserve">. zm.) </w:t>
      </w:r>
    </w:p>
    <w:p w:rsidR="0069799B" w:rsidRPr="00BC135B" w:rsidRDefault="0069799B" w:rsidP="00BC135B">
      <w:pPr>
        <w:spacing w:after="0" w:line="288" w:lineRule="auto"/>
        <w:jc w:val="both"/>
        <w:rPr>
          <w:rFonts w:eastAsiaTheme="minorHAnsi" w:cs="Calibri"/>
          <w:kern w:val="2"/>
          <w:lang w:eastAsia="en-US"/>
          <w14:ligatures w14:val="standardContextual"/>
        </w:rPr>
      </w:pPr>
    </w:p>
    <w:p w:rsidR="00BC135B" w:rsidRDefault="00EC0B71" w:rsidP="00BC135B">
      <w:pPr>
        <w:spacing w:after="0" w:line="288" w:lineRule="auto"/>
        <w:jc w:val="both"/>
        <w:rPr>
          <w:rFonts w:eastAsiaTheme="minorHAnsi" w:cs="Calibri"/>
          <w:kern w:val="2"/>
          <w:lang w:eastAsia="en-US"/>
          <w14:ligatures w14:val="standardContextual"/>
        </w:rPr>
      </w:pPr>
      <w:r w:rsidRPr="00BC135B">
        <w:rPr>
          <w:rFonts w:eastAsiaTheme="minorHAnsi" w:cs="Calibri"/>
          <w:b/>
          <w:kern w:val="2"/>
          <w:lang w:eastAsia="en-US"/>
          <w14:ligatures w14:val="standardContextual"/>
        </w:rPr>
        <w:t>Pytanie 1:</w:t>
      </w:r>
      <w:r w:rsidRPr="00BC135B">
        <w:rPr>
          <w:rFonts w:eastAsiaTheme="minorHAnsi" w:cs="Calibri"/>
          <w:kern w:val="2"/>
          <w:lang w:eastAsia="en-US"/>
          <w14:ligatures w14:val="standardContextual"/>
        </w:rPr>
        <w:t xml:space="preserve"> </w:t>
      </w:r>
    </w:p>
    <w:p w:rsidR="00AE64A1" w:rsidRPr="00BC135B" w:rsidRDefault="00AE64A1" w:rsidP="00BC135B">
      <w:pPr>
        <w:spacing w:after="0" w:line="288" w:lineRule="auto"/>
        <w:jc w:val="both"/>
        <w:rPr>
          <w:rFonts w:cs="Calibri"/>
        </w:rPr>
      </w:pPr>
      <w:r w:rsidRPr="00BC135B">
        <w:rPr>
          <w:rFonts w:cs="Calibri"/>
        </w:rPr>
        <w:t xml:space="preserve">Skoro partia placebo ma zostać wyprodukowana tak, aby termin ważności nie był krótszy niż termin ważności leku referencyjnego oraz nie krótszy niż 24 miesiące w momencie dostawy do ośrodka, proszę o wskazanie terminu ważności leku referencyjnego i ponawiam zapytanie o planowaną datę dostawy. Ponownie zwracam uwagę, ze termin ważności jest związany z datą produkcji. Jeśli oczekują Państwo od Wykonawcy </w:t>
      </w:r>
      <w:proofErr w:type="spellStart"/>
      <w:r w:rsidRPr="00BC135B">
        <w:rPr>
          <w:rFonts w:cs="Calibri"/>
        </w:rPr>
        <w:t>wycyrkulowania</w:t>
      </w:r>
      <w:proofErr w:type="spellEnd"/>
      <w:r w:rsidRPr="00BC135B">
        <w:rPr>
          <w:rFonts w:cs="Calibri"/>
        </w:rPr>
        <w:t xml:space="preserve"> daty ważności wyprodukowanego placebo, tak aby spełniał wymagania umowy, Wykonawca musi wiedzieć kiedy je Państwo zamierzają odebrać, aby móc zaplanować jego wytworzenie. Zwłaszcza, że termin produkcji, wynoszący 30 dni jest dosyć wymagający. </w:t>
      </w:r>
    </w:p>
    <w:p w:rsidR="00AE64A1" w:rsidRPr="00BC135B" w:rsidRDefault="00BC135B" w:rsidP="00BC135B">
      <w:pPr>
        <w:spacing w:after="0" w:line="288" w:lineRule="auto"/>
        <w:jc w:val="both"/>
        <w:rPr>
          <w:rFonts w:cs="Calibri"/>
        </w:rPr>
      </w:pPr>
      <w:r w:rsidRPr="00BC135B">
        <w:rPr>
          <w:rFonts w:cs="Calibri"/>
        </w:rPr>
        <w:t>Odpowiedź:</w:t>
      </w:r>
      <w:r w:rsidR="00AE64A1" w:rsidRPr="00BC135B">
        <w:rPr>
          <w:rFonts w:cs="Calibri"/>
        </w:rPr>
        <w:t xml:space="preserve"> Zamawiający rezygnuje z zapisu dot. 24-miesięcznego terminu ważności placebo. Termin ważności placebo winien być zgodny z datą ważności leku referencyjnego.</w:t>
      </w:r>
    </w:p>
    <w:p w:rsidR="00AE64A1" w:rsidRPr="00BC135B" w:rsidRDefault="00AE64A1" w:rsidP="00BC135B">
      <w:pPr>
        <w:spacing w:after="0" w:line="288" w:lineRule="auto"/>
        <w:jc w:val="both"/>
        <w:rPr>
          <w:rFonts w:cs="Calibri"/>
        </w:rPr>
      </w:pPr>
      <w:r w:rsidRPr="00BC135B">
        <w:rPr>
          <w:rFonts w:cs="Calibri"/>
        </w:rPr>
        <w:t>Wykonawca niezwłocznie po wyprodukowaniu placebo i przepakowaniu leku, dostarczy zamówienie do dwóch wskazanych przez Zamawiającego Ośrodków.</w:t>
      </w:r>
    </w:p>
    <w:p w:rsidR="00BC135B" w:rsidRDefault="00AE64A1" w:rsidP="00BC135B">
      <w:pPr>
        <w:spacing w:after="0" w:line="288" w:lineRule="auto"/>
        <w:jc w:val="both"/>
        <w:rPr>
          <w:rFonts w:eastAsiaTheme="minorHAnsi" w:cs="Calibri"/>
          <w:kern w:val="2"/>
          <w:lang w:eastAsia="en-US"/>
          <w14:ligatures w14:val="standardContextual"/>
        </w:rPr>
      </w:pPr>
      <w:r w:rsidRPr="00BC135B">
        <w:rPr>
          <w:rFonts w:cs="Calibri"/>
        </w:rPr>
        <w:br/>
      </w:r>
      <w:r w:rsidR="00BC135B" w:rsidRPr="00BC135B">
        <w:rPr>
          <w:rFonts w:eastAsiaTheme="minorHAnsi" w:cs="Calibri"/>
          <w:b/>
          <w:kern w:val="2"/>
          <w:lang w:eastAsia="en-US"/>
          <w14:ligatures w14:val="standardContextual"/>
        </w:rPr>
        <w:t xml:space="preserve">Pytanie </w:t>
      </w:r>
      <w:r w:rsidR="00BC135B">
        <w:rPr>
          <w:rFonts w:eastAsiaTheme="minorHAnsi" w:cs="Calibri"/>
          <w:b/>
          <w:kern w:val="2"/>
          <w:lang w:eastAsia="en-US"/>
          <w14:ligatures w14:val="standardContextual"/>
        </w:rPr>
        <w:t>2</w:t>
      </w:r>
      <w:r w:rsidR="00BC135B" w:rsidRPr="00BC135B">
        <w:rPr>
          <w:rFonts w:eastAsiaTheme="minorHAnsi" w:cs="Calibri"/>
          <w:b/>
          <w:kern w:val="2"/>
          <w:lang w:eastAsia="en-US"/>
          <w14:ligatures w14:val="standardContextual"/>
        </w:rPr>
        <w:t>:</w:t>
      </w:r>
      <w:r w:rsidR="00BC135B" w:rsidRPr="00BC135B">
        <w:rPr>
          <w:rFonts w:eastAsiaTheme="minorHAnsi" w:cs="Calibri"/>
          <w:kern w:val="2"/>
          <w:lang w:eastAsia="en-US"/>
          <w14:ligatures w14:val="standardContextual"/>
        </w:rPr>
        <w:t xml:space="preserve"> </w:t>
      </w:r>
    </w:p>
    <w:p w:rsidR="00AE64A1" w:rsidRPr="00BC135B" w:rsidRDefault="00AE64A1" w:rsidP="00BC135B">
      <w:pPr>
        <w:spacing w:after="0" w:line="288" w:lineRule="auto"/>
        <w:jc w:val="both"/>
        <w:rPr>
          <w:rFonts w:cs="Calibri"/>
          <w:color w:val="FF0000"/>
        </w:rPr>
      </w:pPr>
      <w:r w:rsidRPr="00BC135B">
        <w:rPr>
          <w:rFonts w:cs="Calibri"/>
        </w:rPr>
        <w:t>Ile zamówień Państwo planują złożyć? W odpowiedziach wskazali Państwo, że jedno a umowie dalej znajdują się zapisy sugerujące, że więcej, np. "3. Wykonawca przy realizacji każdego zamówienia (...)". Co więcej, w odpowiedziach dalej jest mowa o transzach. Ile w takim razie transz produkcyjnych Państwo oczekują?</w:t>
      </w:r>
    </w:p>
    <w:p w:rsidR="00BC135B" w:rsidRDefault="00BC135B" w:rsidP="00BC135B">
      <w:pPr>
        <w:spacing w:after="0" w:line="288" w:lineRule="auto"/>
        <w:jc w:val="both"/>
        <w:rPr>
          <w:rFonts w:cs="Calibri"/>
        </w:rPr>
      </w:pPr>
      <w:r>
        <w:rPr>
          <w:rFonts w:cs="Calibri"/>
        </w:rPr>
        <w:t xml:space="preserve">Odpowiedź: </w:t>
      </w:r>
      <w:r w:rsidR="00AE64A1" w:rsidRPr="00BC135B">
        <w:rPr>
          <w:rFonts w:cs="Calibri"/>
        </w:rPr>
        <w:t xml:space="preserve">Jedno zamówienie z dostawą do dwóch ośrodków. </w:t>
      </w:r>
    </w:p>
    <w:p w:rsidR="00BC135B" w:rsidRDefault="00BC135B" w:rsidP="00BC135B">
      <w:pPr>
        <w:spacing w:after="0" w:line="288" w:lineRule="auto"/>
        <w:jc w:val="both"/>
        <w:rPr>
          <w:rFonts w:cs="Calibri"/>
        </w:rPr>
      </w:pPr>
    </w:p>
    <w:p w:rsidR="00BC135B" w:rsidRDefault="00AE64A1" w:rsidP="00BC135B">
      <w:pPr>
        <w:spacing w:after="0" w:line="288" w:lineRule="auto"/>
        <w:jc w:val="both"/>
        <w:rPr>
          <w:rFonts w:eastAsiaTheme="minorHAnsi" w:cs="Calibri"/>
          <w:kern w:val="2"/>
          <w:lang w:eastAsia="en-US"/>
          <w14:ligatures w14:val="standardContextual"/>
        </w:rPr>
      </w:pPr>
      <w:r w:rsidRPr="00BC135B">
        <w:rPr>
          <w:rFonts w:cs="Calibri"/>
        </w:rPr>
        <w:lastRenderedPageBreak/>
        <w:br/>
      </w:r>
      <w:r w:rsidRPr="00BC135B">
        <w:rPr>
          <w:rFonts w:cs="Calibri"/>
        </w:rPr>
        <w:br/>
      </w:r>
      <w:r w:rsidR="00BC135B" w:rsidRPr="00BC135B">
        <w:rPr>
          <w:rFonts w:eastAsiaTheme="minorHAnsi" w:cs="Calibri"/>
          <w:b/>
          <w:kern w:val="2"/>
          <w:lang w:eastAsia="en-US"/>
          <w14:ligatures w14:val="standardContextual"/>
        </w:rPr>
        <w:t xml:space="preserve">Pytanie </w:t>
      </w:r>
      <w:r w:rsidR="00BC135B">
        <w:rPr>
          <w:rFonts w:eastAsiaTheme="minorHAnsi" w:cs="Calibri"/>
          <w:b/>
          <w:kern w:val="2"/>
          <w:lang w:eastAsia="en-US"/>
          <w14:ligatures w14:val="standardContextual"/>
        </w:rPr>
        <w:t>3</w:t>
      </w:r>
      <w:r w:rsidR="00BC135B" w:rsidRPr="00BC135B">
        <w:rPr>
          <w:rFonts w:eastAsiaTheme="minorHAnsi" w:cs="Calibri"/>
          <w:b/>
          <w:kern w:val="2"/>
          <w:lang w:eastAsia="en-US"/>
          <w14:ligatures w14:val="standardContextual"/>
        </w:rPr>
        <w:t>:</w:t>
      </w:r>
      <w:r w:rsidR="00BC135B" w:rsidRPr="00BC135B">
        <w:rPr>
          <w:rFonts w:eastAsiaTheme="minorHAnsi" w:cs="Calibri"/>
          <w:kern w:val="2"/>
          <w:lang w:eastAsia="en-US"/>
          <w14:ligatures w14:val="standardContextual"/>
        </w:rPr>
        <w:t xml:space="preserve"> </w:t>
      </w:r>
    </w:p>
    <w:p w:rsidR="00AE64A1" w:rsidRPr="00BC135B" w:rsidRDefault="00AE64A1" w:rsidP="00BC135B">
      <w:pPr>
        <w:spacing w:after="0" w:line="288" w:lineRule="auto"/>
        <w:jc w:val="both"/>
        <w:rPr>
          <w:rFonts w:cs="Calibri"/>
        </w:rPr>
      </w:pPr>
      <w:r w:rsidRPr="00BC135B">
        <w:rPr>
          <w:rFonts w:cs="Calibri"/>
        </w:rPr>
        <w:t xml:space="preserve"> Jeżeli zamówienie jest jedno, czy obejmuje ono: wytworzenie placebo w formie tabletek o wyglądzie identycznym do </w:t>
      </w:r>
      <w:proofErr w:type="spellStart"/>
      <w:r w:rsidRPr="00BC135B">
        <w:rPr>
          <w:rFonts w:cs="Calibri"/>
        </w:rPr>
        <w:t>Betaloc</w:t>
      </w:r>
      <w:proofErr w:type="spellEnd"/>
      <w:r w:rsidRPr="00BC135B">
        <w:rPr>
          <w:rFonts w:cs="Calibri"/>
        </w:rPr>
        <w:t xml:space="preserve"> ZOK 25 mg tabletki o przedłużonym uwalnianiu i zapakowanie do pojemników po 30 tabletek każdy – 100 opakowań x 30 tabl., wytworzenie placebo w formie tabletek o wyglądzie identycznym do </w:t>
      </w:r>
      <w:proofErr w:type="spellStart"/>
      <w:r w:rsidRPr="00BC135B">
        <w:rPr>
          <w:rFonts w:cs="Calibri"/>
        </w:rPr>
        <w:t>Betaloc</w:t>
      </w:r>
      <w:proofErr w:type="spellEnd"/>
      <w:r w:rsidRPr="00BC135B">
        <w:rPr>
          <w:rFonts w:cs="Calibri"/>
        </w:rPr>
        <w:t xml:space="preserve"> ZOK 100 mg tabletki o przedłużonym uwalnianiu i zapakowanie do pojemników po 30 tabletek każdy - 1200 opakowań x 30 tabl., przepakowanie IMP zawierającego w składzie substancję aktywną Bursztynian </w:t>
      </w:r>
      <w:proofErr w:type="spellStart"/>
      <w:r w:rsidRPr="00BC135B">
        <w:rPr>
          <w:rFonts w:cs="Calibri"/>
        </w:rPr>
        <w:t>metoprololu</w:t>
      </w:r>
      <w:proofErr w:type="spellEnd"/>
      <w:r w:rsidRPr="00BC135B">
        <w:rPr>
          <w:rFonts w:cs="Calibri"/>
        </w:rPr>
        <w:t xml:space="preserve"> 25 mg tabletki o przedłużonym uwalnianiu, do pojemników po 30 tabletek każdy - 150 opakowań x 30 tabl., przepakowanie IMP zawierającego w składzie substancję aktywną Bursztynian </w:t>
      </w:r>
      <w:proofErr w:type="spellStart"/>
      <w:r w:rsidRPr="00BC135B">
        <w:rPr>
          <w:rFonts w:cs="Calibri"/>
        </w:rPr>
        <w:t>metoprololu</w:t>
      </w:r>
      <w:proofErr w:type="spellEnd"/>
      <w:r w:rsidRPr="00BC135B">
        <w:rPr>
          <w:rFonts w:cs="Calibri"/>
        </w:rPr>
        <w:t xml:space="preserve"> 100 mg tabletki o przedłużonym uwalnianiu, do pojemników po 30 tabletek każdy - 1200 opakowań x 30 tabl., czy jednak 50% wartości umowy? I czego dotyczy wartość umowy, skoro sama umowa składa się z dwóch modułów, a jego realizacja pierwszego ma charakter zero-jedynkowy? Czy mogą Państwo doprecyzować czego oczekują od Wykonawcy? W przypadku niejasności, Wykonawca założy najmniej korzystny wariant, co może znaleźć odzwie</w:t>
      </w:r>
      <w:r w:rsidR="00BC135B">
        <w:rPr>
          <w:rFonts w:cs="Calibri"/>
        </w:rPr>
        <w:t xml:space="preserve">rciedlenie w złożonej ofercie. </w:t>
      </w:r>
    </w:p>
    <w:p w:rsidR="00AE64A1" w:rsidRPr="00BC135B" w:rsidRDefault="00AE64A1" w:rsidP="00BC135B">
      <w:pPr>
        <w:spacing w:after="0" w:line="288" w:lineRule="auto"/>
        <w:jc w:val="both"/>
        <w:rPr>
          <w:rFonts w:cs="Calibri"/>
        </w:rPr>
      </w:pPr>
      <w:r w:rsidRPr="00BC135B">
        <w:rPr>
          <w:rFonts w:cs="Calibri"/>
        </w:rPr>
        <w:t>Odp</w:t>
      </w:r>
      <w:r w:rsidR="00BC135B">
        <w:rPr>
          <w:rFonts w:cs="Calibri"/>
        </w:rPr>
        <w:t>owiedź:</w:t>
      </w:r>
      <w:r w:rsidRPr="00BC135B">
        <w:rPr>
          <w:rFonts w:cs="Calibri"/>
        </w:rPr>
        <w:t xml:space="preserve"> Ponieważ Zamawiający precyzyjnie określił zakres zamówienia, nie ma potrzeby zapisu w umowie tzw. klauzuli abuzywnej, wynikającej z art.433 pkt.4 ustawy PZP. Zamówienie będzie zrealizowane jednorazowo, w całości.</w:t>
      </w:r>
    </w:p>
    <w:p w:rsidR="00BC135B" w:rsidRDefault="00AE64A1" w:rsidP="00BC135B">
      <w:pPr>
        <w:spacing w:after="0" w:line="288" w:lineRule="auto"/>
        <w:jc w:val="both"/>
        <w:rPr>
          <w:rFonts w:eastAsiaTheme="minorHAnsi" w:cs="Calibri"/>
          <w:kern w:val="2"/>
          <w:lang w:eastAsia="en-US"/>
          <w14:ligatures w14:val="standardContextual"/>
        </w:rPr>
      </w:pPr>
      <w:r w:rsidRPr="00BC135B">
        <w:rPr>
          <w:rFonts w:cs="Calibri"/>
          <w:color w:val="FF0000"/>
        </w:rPr>
        <w:br/>
      </w:r>
      <w:r w:rsidR="00BC135B" w:rsidRPr="00BC135B">
        <w:rPr>
          <w:rFonts w:eastAsiaTheme="minorHAnsi" w:cs="Calibri"/>
          <w:b/>
          <w:kern w:val="2"/>
          <w:lang w:eastAsia="en-US"/>
          <w14:ligatures w14:val="standardContextual"/>
        </w:rPr>
        <w:t xml:space="preserve">Pytanie </w:t>
      </w:r>
      <w:r w:rsidR="00BC135B">
        <w:rPr>
          <w:rFonts w:eastAsiaTheme="minorHAnsi" w:cs="Calibri"/>
          <w:b/>
          <w:kern w:val="2"/>
          <w:lang w:eastAsia="en-US"/>
          <w14:ligatures w14:val="standardContextual"/>
        </w:rPr>
        <w:t>4</w:t>
      </w:r>
      <w:r w:rsidR="00BC135B" w:rsidRPr="00BC135B">
        <w:rPr>
          <w:rFonts w:eastAsiaTheme="minorHAnsi" w:cs="Calibri"/>
          <w:b/>
          <w:kern w:val="2"/>
          <w:lang w:eastAsia="en-US"/>
          <w14:ligatures w14:val="standardContextual"/>
        </w:rPr>
        <w:t>:</w:t>
      </w:r>
      <w:r w:rsidR="00BC135B" w:rsidRPr="00BC135B">
        <w:rPr>
          <w:rFonts w:eastAsiaTheme="minorHAnsi" w:cs="Calibri"/>
          <w:kern w:val="2"/>
          <w:lang w:eastAsia="en-US"/>
          <w14:ligatures w14:val="standardContextual"/>
        </w:rPr>
        <w:t xml:space="preserve"> </w:t>
      </w:r>
    </w:p>
    <w:p w:rsidR="00AE64A1" w:rsidRPr="00BC135B" w:rsidRDefault="00AE64A1" w:rsidP="00BC135B">
      <w:pPr>
        <w:spacing w:after="0" w:line="288" w:lineRule="auto"/>
        <w:jc w:val="both"/>
        <w:rPr>
          <w:rFonts w:cs="Calibri"/>
        </w:rPr>
      </w:pPr>
      <w:r w:rsidRPr="00BC135B">
        <w:rPr>
          <w:rFonts w:cs="Calibri"/>
        </w:rPr>
        <w:t>Ponownie proszę o ustalenie: w odpowiedzi dot. formy dostarczenia IMPD pojawiają się dalej sprzeczności., Raz jest forma elektroniczna lub papierowa innym razem forma elektroniczna oraz papierowa</w:t>
      </w:r>
      <w:r w:rsidR="00BC135B">
        <w:rPr>
          <w:rFonts w:cs="Calibri"/>
        </w:rPr>
        <w:t>.</w:t>
      </w:r>
    </w:p>
    <w:p w:rsidR="00BC135B" w:rsidRPr="00BC135B" w:rsidRDefault="00AE64A1" w:rsidP="00BC135B">
      <w:pPr>
        <w:spacing w:after="0" w:line="288" w:lineRule="auto"/>
        <w:jc w:val="both"/>
        <w:rPr>
          <w:rFonts w:cs="Calibri"/>
        </w:rPr>
      </w:pPr>
      <w:r w:rsidRPr="00BC135B">
        <w:rPr>
          <w:rFonts w:cs="Calibri"/>
        </w:rPr>
        <w:t>Odp</w:t>
      </w:r>
      <w:r w:rsidR="00BC135B" w:rsidRPr="00BC135B">
        <w:rPr>
          <w:rFonts w:cs="Calibri"/>
        </w:rPr>
        <w:t>owiedź:</w:t>
      </w:r>
      <w:r w:rsidRPr="00BC135B">
        <w:rPr>
          <w:rFonts w:cs="Calibri"/>
        </w:rPr>
        <w:t xml:space="preserve"> Forma elektroniczna lub papierowa.</w:t>
      </w:r>
    </w:p>
    <w:p w:rsidR="00BC135B" w:rsidRDefault="00AE64A1" w:rsidP="00BC135B">
      <w:pPr>
        <w:spacing w:after="0" w:line="288" w:lineRule="auto"/>
        <w:jc w:val="both"/>
        <w:rPr>
          <w:rFonts w:eastAsiaTheme="minorHAnsi" w:cs="Calibri"/>
          <w:kern w:val="2"/>
          <w:lang w:eastAsia="en-US"/>
          <w14:ligatures w14:val="standardContextual"/>
        </w:rPr>
      </w:pPr>
      <w:r w:rsidRPr="00BC135B">
        <w:rPr>
          <w:rFonts w:cs="Calibri"/>
        </w:rPr>
        <w:br/>
      </w:r>
      <w:r w:rsidR="00BC135B" w:rsidRPr="00BC135B">
        <w:rPr>
          <w:rFonts w:eastAsiaTheme="minorHAnsi" w:cs="Calibri"/>
          <w:b/>
          <w:kern w:val="2"/>
          <w:lang w:eastAsia="en-US"/>
          <w14:ligatures w14:val="standardContextual"/>
        </w:rPr>
        <w:t xml:space="preserve">Pytanie </w:t>
      </w:r>
      <w:r w:rsidR="00BC135B">
        <w:rPr>
          <w:rFonts w:eastAsiaTheme="minorHAnsi" w:cs="Calibri"/>
          <w:b/>
          <w:kern w:val="2"/>
          <w:lang w:eastAsia="en-US"/>
          <w14:ligatures w14:val="standardContextual"/>
        </w:rPr>
        <w:t>5</w:t>
      </w:r>
      <w:r w:rsidR="00BC135B" w:rsidRPr="00BC135B">
        <w:rPr>
          <w:rFonts w:eastAsiaTheme="minorHAnsi" w:cs="Calibri"/>
          <w:b/>
          <w:kern w:val="2"/>
          <w:lang w:eastAsia="en-US"/>
          <w14:ligatures w14:val="standardContextual"/>
        </w:rPr>
        <w:t>:</w:t>
      </w:r>
      <w:r w:rsidR="00BC135B" w:rsidRPr="00BC135B">
        <w:rPr>
          <w:rFonts w:eastAsiaTheme="minorHAnsi" w:cs="Calibri"/>
          <w:kern w:val="2"/>
          <w:lang w:eastAsia="en-US"/>
          <w14:ligatures w14:val="standardContextual"/>
        </w:rPr>
        <w:t xml:space="preserve"> </w:t>
      </w:r>
    </w:p>
    <w:p w:rsidR="00AE64A1" w:rsidRPr="00BC135B" w:rsidRDefault="00AE64A1" w:rsidP="00BC135B">
      <w:pPr>
        <w:spacing w:after="0" w:line="288" w:lineRule="auto"/>
        <w:jc w:val="both"/>
        <w:rPr>
          <w:rFonts w:cs="Calibri"/>
        </w:rPr>
      </w:pPr>
      <w:r w:rsidRPr="00BC135B">
        <w:rPr>
          <w:rFonts w:cs="Calibri"/>
        </w:rPr>
        <w:t xml:space="preserve">Zmiana IMPD nie przekłada się na zmiany w protokole. W protokole ma zastosowanie nazwa substancji czynnej a nie handlowej. </w:t>
      </w:r>
    </w:p>
    <w:p w:rsidR="00AE64A1" w:rsidRPr="00BC135B" w:rsidRDefault="00AE64A1" w:rsidP="00BC135B">
      <w:pPr>
        <w:spacing w:line="288" w:lineRule="auto"/>
        <w:jc w:val="both"/>
        <w:rPr>
          <w:rFonts w:cs="Calibri"/>
        </w:rPr>
      </w:pPr>
      <w:r w:rsidRPr="00BC135B">
        <w:rPr>
          <w:rFonts w:cs="Calibri"/>
        </w:rPr>
        <w:t>Odp</w:t>
      </w:r>
      <w:r w:rsidR="00BC135B" w:rsidRPr="00BC135B">
        <w:rPr>
          <w:rFonts w:cs="Calibri"/>
        </w:rPr>
        <w:t>owiedź:</w:t>
      </w:r>
      <w:r w:rsidRPr="00BC135B">
        <w:rPr>
          <w:rFonts w:cs="Calibri"/>
        </w:rPr>
        <w:t xml:space="preserve"> W protokole badania jest zapis nazwy handlowej leku. Nie można wykluczyć, że zmiana IMPD-Q nie wpłynie na konieczność wprowadzenia zmian do protokołu badania klinicznego.</w:t>
      </w:r>
    </w:p>
    <w:p w:rsidR="00F81325" w:rsidRPr="00BC135B" w:rsidRDefault="00F81325" w:rsidP="00BC1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cs="Calibri"/>
          <w:i/>
          <w:iCs/>
        </w:rPr>
      </w:pPr>
    </w:p>
    <w:p w:rsidR="00F81325" w:rsidRPr="00BC135B" w:rsidRDefault="00F81325" w:rsidP="00BC135B">
      <w:pPr>
        <w:autoSpaceDE w:val="0"/>
        <w:autoSpaceDN w:val="0"/>
        <w:adjustRightInd w:val="0"/>
        <w:spacing w:after="0" w:line="288" w:lineRule="auto"/>
        <w:jc w:val="both"/>
        <w:rPr>
          <w:rFonts w:cs="Calibri"/>
          <w:i/>
          <w:iCs/>
        </w:rPr>
      </w:pPr>
    </w:p>
    <w:p w:rsidR="00F81325" w:rsidRPr="00BC135B" w:rsidRDefault="005200E8" w:rsidP="00BC135B">
      <w:pPr>
        <w:autoSpaceDE w:val="0"/>
        <w:autoSpaceDN w:val="0"/>
        <w:adjustRightInd w:val="0"/>
        <w:spacing w:after="0" w:line="288" w:lineRule="auto"/>
        <w:jc w:val="both"/>
        <w:rPr>
          <w:rFonts w:cs="Calibri"/>
          <w:i/>
          <w:iCs/>
        </w:rPr>
      </w:pPr>
      <w:r>
        <w:rPr>
          <w:rFonts w:cs="Calibri"/>
          <w:i/>
          <w:iCs/>
        </w:rPr>
        <w:tab/>
      </w:r>
      <w:r>
        <w:rPr>
          <w:rFonts w:cs="Calibri"/>
          <w:i/>
          <w:iCs/>
        </w:rPr>
        <w:tab/>
      </w:r>
      <w:r>
        <w:rPr>
          <w:rFonts w:cs="Calibri"/>
          <w:i/>
          <w:iCs/>
        </w:rPr>
        <w:tab/>
      </w:r>
      <w:r>
        <w:rPr>
          <w:rFonts w:cs="Calibri"/>
          <w:i/>
          <w:iCs/>
        </w:rPr>
        <w:tab/>
      </w:r>
      <w:r>
        <w:rPr>
          <w:rFonts w:cs="Calibri"/>
          <w:i/>
          <w:iCs/>
        </w:rPr>
        <w:tab/>
      </w:r>
      <w:r>
        <w:rPr>
          <w:rFonts w:cs="Calibri"/>
          <w:i/>
          <w:iCs/>
        </w:rPr>
        <w:tab/>
      </w:r>
      <w:r>
        <w:rPr>
          <w:rFonts w:cs="Calibri"/>
          <w:i/>
          <w:iCs/>
        </w:rPr>
        <w:tab/>
      </w:r>
      <w:r>
        <w:rPr>
          <w:rFonts w:cs="Calibri"/>
          <w:i/>
          <w:iCs/>
        </w:rPr>
        <w:tab/>
      </w:r>
      <w:r>
        <w:rPr>
          <w:rFonts w:cs="Calibri"/>
          <w:i/>
          <w:iCs/>
        </w:rPr>
        <w:tab/>
      </w:r>
      <w:bookmarkStart w:id="0" w:name="_GoBack"/>
      <w:bookmarkEnd w:id="0"/>
    </w:p>
    <w:p w:rsidR="00F81325" w:rsidRDefault="00F81325" w:rsidP="00BC310B">
      <w:pPr>
        <w:autoSpaceDE w:val="0"/>
        <w:autoSpaceDN w:val="0"/>
        <w:adjustRightInd w:val="0"/>
        <w:spacing w:after="0" w:line="240" w:lineRule="auto"/>
        <w:rPr>
          <w:rFonts w:cs="Calibri"/>
          <w:i/>
          <w:iCs/>
          <w:sz w:val="18"/>
          <w:szCs w:val="18"/>
        </w:rPr>
      </w:pPr>
    </w:p>
    <w:p w:rsidR="00F81325" w:rsidRPr="004C17C6" w:rsidRDefault="00F81325" w:rsidP="00BC310B">
      <w:pPr>
        <w:autoSpaceDE w:val="0"/>
        <w:autoSpaceDN w:val="0"/>
        <w:adjustRightInd w:val="0"/>
        <w:spacing w:after="0" w:line="240" w:lineRule="auto"/>
        <w:rPr>
          <w:rFonts w:cs="Calibri"/>
          <w:i/>
          <w:iCs/>
          <w:sz w:val="18"/>
          <w:szCs w:val="18"/>
        </w:rPr>
      </w:pPr>
    </w:p>
    <w:p w:rsidR="00BC310B" w:rsidRPr="00BC310B" w:rsidRDefault="00BC310B" w:rsidP="00BC310B">
      <w:pPr>
        <w:autoSpaceDE w:val="0"/>
        <w:autoSpaceDN w:val="0"/>
        <w:adjustRightInd w:val="0"/>
        <w:spacing w:after="0" w:line="240" w:lineRule="auto"/>
        <w:rPr>
          <w:rFonts w:asciiTheme="minorHAnsi" w:eastAsia="Batang" w:hAnsiTheme="minorHAnsi" w:cstheme="minorHAnsi"/>
          <w:color w:val="000000"/>
          <w:sz w:val="18"/>
          <w:szCs w:val="18"/>
        </w:rPr>
      </w:pPr>
    </w:p>
    <w:p w:rsidR="00BC310B" w:rsidRPr="00BC310B" w:rsidRDefault="00BC310B" w:rsidP="00BC310B">
      <w:pPr>
        <w:autoSpaceDE w:val="0"/>
        <w:autoSpaceDN w:val="0"/>
        <w:adjustRightInd w:val="0"/>
        <w:spacing w:after="0" w:line="240" w:lineRule="auto"/>
        <w:rPr>
          <w:rFonts w:asciiTheme="minorHAnsi" w:hAnsiTheme="minorHAnsi" w:cstheme="minorHAnsi"/>
          <w:i/>
          <w:iCs/>
          <w:sz w:val="18"/>
          <w:szCs w:val="18"/>
        </w:rPr>
      </w:pPr>
      <w:r w:rsidRPr="00BC310B">
        <w:rPr>
          <w:rFonts w:asciiTheme="minorHAnsi" w:eastAsia="Batang" w:hAnsiTheme="minorHAnsi" w:cstheme="minorHAnsi"/>
          <w:color w:val="000000"/>
          <w:sz w:val="18"/>
          <w:szCs w:val="18"/>
        </w:rPr>
        <w:t xml:space="preserve"> </w:t>
      </w:r>
      <w:r w:rsidRPr="00BC310B">
        <w:rPr>
          <w:rFonts w:asciiTheme="minorHAnsi" w:eastAsia="Batang" w:hAnsiTheme="minorHAnsi" w:cstheme="minorHAnsi"/>
          <w:i/>
          <w:iCs/>
          <w:color w:val="000000"/>
          <w:sz w:val="18"/>
          <w:szCs w:val="18"/>
        </w:rPr>
        <w:t>Sprawę prowadzi: Dagmara Żukowska</w:t>
      </w:r>
    </w:p>
    <w:p w:rsidR="00F81325" w:rsidRPr="00BC310B" w:rsidRDefault="00F81325">
      <w:pPr>
        <w:autoSpaceDE w:val="0"/>
        <w:autoSpaceDN w:val="0"/>
        <w:adjustRightInd w:val="0"/>
        <w:spacing w:after="0" w:line="240" w:lineRule="auto"/>
        <w:rPr>
          <w:rFonts w:asciiTheme="minorHAnsi" w:hAnsiTheme="minorHAnsi" w:cstheme="minorHAnsi"/>
          <w:i/>
          <w:iCs/>
          <w:sz w:val="18"/>
          <w:szCs w:val="18"/>
        </w:rPr>
      </w:pPr>
      <w:r>
        <w:rPr>
          <w:rFonts w:asciiTheme="minorHAnsi" w:hAnsiTheme="minorHAnsi" w:cstheme="minorHAnsi"/>
          <w:i/>
          <w:iCs/>
          <w:sz w:val="18"/>
          <w:szCs w:val="18"/>
        </w:rPr>
        <w:tab/>
      </w:r>
      <w:r>
        <w:rPr>
          <w:rFonts w:asciiTheme="minorHAnsi" w:hAnsiTheme="minorHAnsi" w:cstheme="minorHAnsi"/>
          <w:i/>
          <w:iCs/>
          <w:sz w:val="18"/>
          <w:szCs w:val="18"/>
        </w:rPr>
        <w:tab/>
      </w:r>
      <w:r>
        <w:rPr>
          <w:rFonts w:asciiTheme="minorHAnsi" w:hAnsiTheme="minorHAnsi" w:cstheme="minorHAnsi"/>
          <w:i/>
          <w:iCs/>
          <w:sz w:val="18"/>
          <w:szCs w:val="18"/>
        </w:rPr>
        <w:tab/>
      </w:r>
      <w:r>
        <w:rPr>
          <w:rFonts w:asciiTheme="minorHAnsi" w:hAnsiTheme="minorHAnsi" w:cstheme="minorHAnsi"/>
          <w:i/>
          <w:iCs/>
          <w:sz w:val="18"/>
          <w:szCs w:val="18"/>
        </w:rPr>
        <w:tab/>
      </w:r>
      <w:r>
        <w:rPr>
          <w:rFonts w:asciiTheme="minorHAnsi" w:hAnsiTheme="minorHAnsi" w:cstheme="minorHAnsi"/>
          <w:i/>
          <w:iCs/>
          <w:sz w:val="18"/>
          <w:szCs w:val="18"/>
        </w:rPr>
        <w:tab/>
      </w:r>
    </w:p>
    <w:sectPr w:rsidR="00F81325" w:rsidRPr="00BC310B" w:rsidSect="005D6C67">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560" w:left="1417" w:header="0"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E1C" w:rsidRDefault="002E0E1C" w:rsidP="000A396A">
      <w:pPr>
        <w:spacing w:after="0" w:line="240" w:lineRule="auto"/>
      </w:pPr>
      <w:r>
        <w:separator/>
      </w:r>
    </w:p>
  </w:endnote>
  <w:endnote w:type="continuationSeparator" w:id="0">
    <w:p w:rsidR="002E0E1C" w:rsidRDefault="002E0E1C" w:rsidP="000A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67" w:rsidRDefault="005D6C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50" w:rsidRDefault="00E60550" w:rsidP="006A4DF5">
    <w:pPr>
      <w:pStyle w:val="Stopka"/>
      <w:spacing w:line="276" w:lineRule="auto"/>
      <w:jc w:val="center"/>
      <w:rPr>
        <w:rFonts w:ascii="Century Gothic" w:hAnsi="Century Gothic"/>
        <w:b/>
        <w:bCs/>
        <w:color w:val="024387"/>
        <w:sz w:val="16"/>
        <w:szCs w:val="16"/>
      </w:rPr>
    </w:pPr>
    <w:r>
      <w:rPr>
        <w:rFonts w:ascii="Century Gothic" w:hAnsi="Century Gothic"/>
        <w:b/>
        <w:bCs/>
        <w:color w:val="024387"/>
        <w:sz w:val="16"/>
        <w:szCs w:val="16"/>
      </w:rPr>
      <w:t>DZIAŁ ZAMÓWIEŃ</w:t>
    </w:r>
  </w:p>
  <w:p w:rsidR="006A4DF5" w:rsidRPr="00E02042" w:rsidRDefault="00E60550" w:rsidP="006A4DF5">
    <w:pPr>
      <w:pStyle w:val="Stopka"/>
      <w:spacing w:line="276" w:lineRule="auto"/>
      <w:jc w:val="center"/>
      <w:rPr>
        <w:rFonts w:ascii="Century Gothic" w:hAnsi="Century Gothic"/>
        <w:b/>
        <w:bCs/>
        <w:color w:val="024387"/>
        <w:sz w:val="16"/>
        <w:szCs w:val="16"/>
      </w:rPr>
    </w:pPr>
    <w:r>
      <w:rPr>
        <w:rFonts w:ascii="Century Gothic" w:hAnsi="Century Gothic"/>
        <w:b/>
        <w:bCs/>
        <w:color w:val="024387"/>
        <w:sz w:val="16"/>
        <w:szCs w:val="16"/>
      </w:rPr>
      <w:t xml:space="preserve"> SEKCJA ZAMÓWIEŃ PUBLICZNYCH</w:t>
    </w:r>
  </w:p>
  <w:p w:rsidR="00156D62" w:rsidRDefault="006A4DF5" w:rsidP="006A4DF5">
    <w:pPr>
      <w:pStyle w:val="Stopka"/>
      <w:spacing w:line="276" w:lineRule="auto"/>
      <w:jc w:val="center"/>
      <w:rPr>
        <w:rFonts w:ascii="Century Gothic" w:hAnsi="Century Gothic"/>
        <w:color w:val="024387"/>
        <w:sz w:val="16"/>
        <w:szCs w:val="16"/>
      </w:rPr>
    </w:pPr>
    <w:r w:rsidRPr="00E02042">
      <w:rPr>
        <w:rFonts w:ascii="Century Gothic" w:hAnsi="Century Gothic"/>
        <w:color w:val="024387"/>
        <w:sz w:val="16"/>
        <w:szCs w:val="16"/>
      </w:rPr>
      <w:t xml:space="preserve">ul. </w:t>
    </w:r>
    <w:r w:rsidR="00E60550">
      <w:rPr>
        <w:rFonts w:ascii="Century Gothic" w:hAnsi="Century Gothic"/>
        <w:color w:val="024387"/>
        <w:sz w:val="16"/>
        <w:szCs w:val="16"/>
      </w:rPr>
      <w:t>M. Skłodowskiej-Curie 3a</w:t>
    </w:r>
    <w:r w:rsidRPr="00E02042">
      <w:rPr>
        <w:rFonts w:ascii="Century Gothic" w:hAnsi="Century Gothic"/>
        <w:color w:val="024387"/>
        <w:sz w:val="16"/>
        <w:szCs w:val="16"/>
      </w:rPr>
      <w:t>, 80-</w:t>
    </w:r>
    <w:r w:rsidR="00156D62">
      <w:rPr>
        <w:rFonts w:ascii="Century Gothic" w:hAnsi="Century Gothic"/>
        <w:color w:val="024387"/>
        <w:sz w:val="16"/>
        <w:szCs w:val="16"/>
      </w:rPr>
      <w:t>210</w:t>
    </w:r>
    <w:r w:rsidR="00E60550">
      <w:rPr>
        <w:rFonts w:ascii="Century Gothic" w:hAnsi="Century Gothic"/>
        <w:color w:val="024387"/>
        <w:sz w:val="16"/>
        <w:szCs w:val="16"/>
      </w:rPr>
      <w:t xml:space="preserve"> </w:t>
    </w:r>
    <w:r w:rsidRPr="00E02042">
      <w:rPr>
        <w:rFonts w:ascii="Century Gothic" w:hAnsi="Century Gothic"/>
        <w:color w:val="024387"/>
        <w:sz w:val="16"/>
        <w:szCs w:val="16"/>
      </w:rPr>
      <w:t xml:space="preserve">Gdańsk </w:t>
    </w:r>
  </w:p>
  <w:p w:rsidR="006A4DF5" w:rsidRDefault="006A4DF5" w:rsidP="006A4DF5">
    <w:pPr>
      <w:pStyle w:val="Stopka"/>
      <w:spacing w:line="276" w:lineRule="auto"/>
      <w:jc w:val="center"/>
      <w:rPr>
        <w:rFonts w:ascii="Century Gothic" w:hAnsi="Century Gothic"/>
        <w:color w:val="024387"/>
        <w:sz w:val="16"/>
        <w:szCs w:val="16"/>
      </w:rPr>
    </w:pPr>
    <w:r w:rsidRPr="00E02042">
      <w:rPr>
        <w:rFonts w:ascii="Century Gothic" w:hAnsi="Century Gothic"/>
        <w:color w:val="024387"/>
        <w:sz w:val="16"/>
        <w:szCs w:val="16"/>
      </w:rPr>
      <w:t>| 58</w:t>
    </w:r>
    <w:r w:rsidR="00E60550">
      <w:rPr>
        <w:rFonts w:ascii="Century Gothic" w:hAnsi="Century Gothic"/>
        <w:color w:val="024387"/>
        <w:sz w:val="16"/>
        <w:szCs w:val="16"/>
      </w:rPr>
      <w:t> 349 12 23</w:t>
    </w:r>
    <w:r w:rsidRPr="00E02042">
      <w:rPr>
        <w:rFonts w:ascii="Century Gothic" w:hAnsi="Century Gothic"/>
        <w:color w:val="024387"/>
        <w:sz w:val="16"/>
        <w:szCs w:val="16"/>
      </w:rPr>
      <w:t xml:space="preserve"> </w:t>
    </w:r>
    <w:r w:rsidR="00156D62">
      <w:rPr>
        <w:rFonts w:ascii="Century Gothic" w:hAnsi="Century Gothic"/>
        <w:color w:val="024387"/>
        <w:sz w:val="16"/>
        <w:szCs w:val="16"/>
      </w:rPr>
      <w:t>/ 58 349 12 34</w:t>
    </w:r>
    <w:r w:rsidRPr="00E02042">
      <w:rPr>
        <w:rFonts w:ascii="Century Gothic" w:hAnsi="Century Gothic"/>
        <w:color w:val="024387"/>
        <w:sz w:val="16"/>
        <w:szCs w:val="16"/>
      </w:rPr>
      <w:t xml:space="preserve">| </w:t>
    </w:r>
    <w:r w:rsidR="00E60550">
      <w:rPr>
        <w:rFonts w:ascii="Century Gothic" w:hAnsi="Century Gothic"/>
        <w:color w:val="024387"/>
        <w:sz w:val="16"/>
        <w:szCs w:val="16"/>
      </w:rPr>
      <w:t>zp</w:t>
    </w:r>
    <w:r w:rsidR="005D6C67" w:rsidRPr="005D6C67">
      <w:rPr>
        <w:rFonts w:ascii="Century Gothic" w:hAnsi="Century Gothic"/>
        <w:color w:val="024387"/>
        <w:sz w:val="16"/>
        <w:szCs w:val="16"/>
      </w:rPr>
      <w:t>@gumed.edu.pl</w:t>
    </w:r>
  </w:p>
  <w:p w:rsidR="006A4DF5" w:rsidRPr="00E02042" w:rsidRDefault="006A4DF5" w:rsidP="006A4DF5">
    <w:pPr>
      <w:pStyle w:val="Stopka"/>
      <w:spacing w:line="276" w:lineRule="auto"/>
      <w:jc w:val="center"/>
      <w:rPr>
        <w:rFonts w:ascii="Century Gothic" w:hAnsi="Century Gothic"/>
        <w:b/>
        <w:bCs/>
        <w:color w:val="02438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67" w:rsidRDefault="005D6C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E1C" w:rsidRDefault="002E0E1C" w:rsidP="000A396A">
      <w:pPr>
        <w:spacing w:after="0" w:line="240" w:lineRule="auto"/>
      </w:pPr>
      <w:r>
        <w:separator/>
      </w:r>
    </w:p>
  </w:footnote>
  <w:footnote w:type="continuationSeparator" w:id="0">
    <w:p w:rsidR="002E0E1C" w:rsidRDefault="002E0E1C" w:rsidP="000A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67" w:rsidRDefault="005D6C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96A" w:rsidRDefault="005862F3" w:rsidP="000A396A">
    <w:pPr>
      <w:pStyle w:val="Nagwek"/>
      <w:ind w:left="-1417"/>
    </w:pPr>
    <w:r>
      <w:rPr>
        <w:noProof/>
      </w:rPr>
      <w:drawing>
        <wp:anchor distT="0" distB="0" distL="114300" distR="114300" simplePos="0" relativeHeight="251658240" behindDoc="1" locked="0" layoutInCell="1" allowOverlap="1">
          <wp:simplePos x="0" y="0"/>
          <wp:positionH relativeFrom="column">
            <wp:posOffset>-890270</wp:posOffset>
          </wp:positionH>
          <wp:positionV relativeFrom="paragraph">
            <wp:posOffset>0</wp:posOffset>
          </wp:positionV>
          <wp:extent cx="7552799" cy="10682294"/>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jpg"/>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229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67" w:rsidRDefault="005D6C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9722B"/>
    <w:multiLevelType w:val="hybridMultilevel"/>
    <w:tmpl w:val="CB9E2A98"/>
    <w:lvl w:ilvl="0" w:tplc="0C124C48">
      <w:start w:val="1"/>
      <w:numFmt w:val="decimal"/>
      <w:lvlText w:val="%1)"/>
      <w:lvlJc w:val="left"/>
      <w:pPr>
        <w:tabs>
          <w:tab w:val="num" w:pos="3338"/>
        </w:tabs>
        <w:ind w:left="3338" w:hanging="360"/>
      </w:pPr>
    </w:lvl>
    <w:lvl w:ilvl="1" w:tplc="04150019">
      <w:start w:val="1"/>
      <w:numFmt w:val="lowerLetter"/>
      <w:lvlText w:val="%2."/>
      <w:lvlJc w:val="left"/>
      <w:pPr>
        <w:tabs>
          <w:tab w:val="num" w:pos="4058"/>
        </w:tabs>
        <w:ind w:left="4058" w:hanging="360"/>
      </w:pPr>
    </w:lvl>
    <w:lvl w:ilvl="2" w:tplc="0415001B">
      <w:start w:val="1"/>
      <w:numFmt w:val="lowerRoman"/>
      <w:lvlText w:val="%3."/>
      <w:lvlJc w:val="right"/>
      <w:pPr>
        <w:tabs>
          <w:tab w:val="num" w:pos="4778"/>
        </w:tabs>
        <w:ind w:left="4778" w:hanging="180"/>
      </w:pPr>
    </w:lvl>
    <w:lvl w:ilvl="3" w:tplc="0415000F">
      <w:start w:val="1"/>
      <w:numFmt w:val="decimal"/>
      <w:lvlText w:val="%4."/>
      <w:lvlJc w:val="left"/>
      <w:pPr>
        <w:tabs>
          <w:tab w:val="num" w:pos="5498"/>
        </w:tabs>
        <w:ind w:left="5498" w:hanging="360"/>
      </w:pPr>
    </w:lvl>
    <w:lvl w:ilvl="4" w:tplc="04150019">
      <w:start w:val="1"/>
      <w:numFmt w:val="lowerLetter"/>
      <w:lvlText w:val="%5."/>
      <w:lvlJc w:val="left"/>
      <w:pPr>
        <w:tabs>
          <w:tab w:val="num" w:pos="6218"/>
        </w:tabs>
        <w:ind w:left="6218" w:hanging="360"/>
      </w:pPr>
    </w:lvl>
    <w:lvl w:ilvl="5" w:tplc="0415001B">
      <w:start w:val="1"/>
      <w:numFmt w:val="lowerRoman"/>
      <w:lvlText w:val="%6."/>
      <w:lvlJc w:val="right"/>
      <w:pPr>
        <w:tabs>
          <w:tab w:val="num" w:pos="6938"/>
        </w:tabs>
        <w:ind w:left="6938" w:hanging="180"/>
      </w:pPr>
    </w:lvl>
    <w:lvl w:ilvl="6" w:tplc="0415000F">
      <w:start w:val="1"/>
      <w:numFmt w:val="decimal"/>
      <w:lvlText w:val="%7."/>
      <w:lvlJc w:val="left"/>
      <w:pPr>
        <w:tabs>
          <w:tab w:val="num" w:pos="7658"/>
        </w:tabs>
        <w:ind w:left="7658" w:hanging="360"/>
      </w:pPr>
    </w:lvl>
    <w:lvl w:ilvl="7" w:tplc="04150019">
      <w:start w:val="1"/>
      <w:numFmt w:val="lowerLetter"/>
      <w:lvlText w:val="%8."/>
      <w:lvlJc w:val="left"/>
      <w:pPr>
        <w:tabs>
          <w:tab w:val="num" w:pos="8378"/>
        </w:tabs>
        <w:ind w:left="8378" w:hanging="360"/>
      </w:pPr>
    </w:lvl>
    <w:lvl w:ilvl="8" w:tplc="0415001B">
      <w:start w:val="1"/>
      <w:numFmt w:val="lowerRoman"/>
      <w:lvlText w:val="%9."/>
      <w:lvlJc w:val="right"/>
      <w:pPr>
        <w:tabs>
          <w:tab w:val="num" w:pos="9098"/>
        </w:tabs>
        <w:ind w:left="9098" w:hanging="180"/>
      </w:pPr>
    </w:lvl>
  </w:abstractNum>
  <w:abstractNum w:abstractNumId="1" w15:restartNumberingAfterBreak="0">
    <w:nsid w:val="20307D60"/>
    <w:multiLevelType w:val="hybridMultilevel"/>
    <w:tmpl w:val="8A94C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30540F"/>
    <w:multiLevelType w:val="hybridMultilevel"/>
    <w:tmpl w:val="E2709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F6E0F0A"/>
    <w:multiLevelType w:val="hybridMultilevel"/>
    <w:tmpl w:val="F65A94B4"/>
    <w:lvl w:ilvl="0" w:tplc="273CAB2A">
      <w:start w:val="1"/>
      <w:numFmt w:val="decimal"/>
      <w:lvlText w:val="%1."/>
      <w:lvlJc w:val="left"/>
      <w:pPr>
        <w:ind w:left="5317" w:hanging="360"/>
      </w:pPr>
      <w:rPr>
        <w:rFonts w:eastAsia="Batang" w:hint="default"/>
        <w:i w:val="0"/>
        <w:color w:val="000000"/>
        <w:sz w:val="22"/>
        <w:szCs w:val="22"/>
      </w:rPr>
    </w:lvl>
    <w:lvl w:ilvl="1" w:tplc="04150019" w:tentative="1">
      <w:start w:val="1"/>
      <w:numFmt w:val="lowerLetter"/>
      <w:lvlText w:val="%2."/>
      <w:lvlJc w:val="left"/>
      <w:pPr>
        <w:ind w:left="6037" w:hanging="360"/>
      </w:pPr>
    </w:lvl>
    <w:lvl w:ilvl="2" w:tplc="0415001B" w:tentative="1">
      <w:start w:val="1"/>
      <w:numFmt w:val="lowerRoman"/>
      <w:lvlText w:val="%3."/>
      <w:lvlJc w:val="right"/>
      <w:pPr>
        <w:ind w:left="6757" w:hanging="180"/>
      </w:pPr>
    </w:lvl>
    <w:lvl w:ilvl="3" w:tplc="0415000F" w:tentative="1">
      <w:start w:val="1"/>
      <w:numFmt w:val="decimal"/>
      <w:lvlText w:val="%4."/>
      <w:lvlJc w:val="left"/>
      <w:pPr>
        <w:ind w:left="7477" w:hanging="360"/>
      </w:pPr>
    </w:lvl>
    <w:lvl w:ilvl="4" w:tplc="04150019" w:tentative="1">
      <w:start w:val="1"/>
      <w:numFmt w:val="lowerLetter"/>
      <w:lvlText w:val="%5."/>
      <w:lvlJc w:val="left"/>
      <w:pPr>
        <w:ind w:left="8197" w:hanging="360"/>
      </w:pPr>
    </w:lvl>
    <w:lvl w:ilvl="5" w:tplc="0415001B" w:tentative="1">
      <w:start w:val="1"/>
      <w:numFmt w:val="lowerRoman"/>
      <w:lvlText w:val="%6."/>
      <w:lvlJc w:val="right"/>
      <w:pPr>
        <w:ind w:left="8917" w:hanging="180"/>
      </w:pPr>
    </w:lvl>
    <w:lvl w:ilvl="6" w:tplc="0415000F" w:tentative="1">
      <w:start w:val="1"/>
      <w:numFmt w:val="decimal"/>
      <w:lvlText w:val="%7."/>
      <w:lvlJc w:val="left"/>
      <w:pPr>
        <w:ind w:left="9637" w:hanging="360"/>
      </w:pPr>
    </w:lvl>
    <w:lvl w:ilvl="7" w:tplc="04150019" w:tentative="1">
      <w:start w:val="1"/>
      <w:numFmt w:val="lowerLetter"/>
      <w:lvlText w:val="%8."/>
      <w:lvlJc w:val="left"/>
      <w:pPr>
        <w:ind w:left="10357" w:hanging="360"/>
      </w:pPr>
    </w:lvl>
    <w:lvl w:ilvl="8" w:tplc="0415001B" w:tentative="1">
      <w:start w:val="1"/>
      <w:numFmt w:val="lowerRoman"/>
      <w:lvlText w:val="%9."/>
      <w:lvlJc w:val="right"/>
      <w:pPr>
        <w:ind w:left="11077" w:hanging="180"/>
      </w:pPr>
    </w:lvl>
  </w:abstractNum>
  <w:abstractNum w:abstractNumId="4" w15:restartNumberingAfterBreak="0">
    <w:nsid w:val="7A1600B6"/>
    <w:multiLevelType w:val="hybridMultilevel"/>
    <w:tmpl w:val="EB269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6A"/>
    <w:rsid w:val="000A396A"/>
    <w:rsid w:val="000D66FE"/>
    <w:rsid w:val="001057C5"/>
    <w:rsid w:val="001518F7"/>
    <w:rsid w:val="00156D62"/>
    <w:rsid w:val="00176252"/>
    <w:rsid w:val="001A0FD3"/>
    <w:rsid w:val="001A39CE"/>
    <w:rsid w:val="001C6021"/>
    <w:rsid w:val="00223323"/>
    <w:rsid w:val="002435AA"/>
    <w:rsid w:val="00245BC6"/>
    <w:rsid w:val="00261AD0"/>
    <w:rsid w:val="00262C04"/>
    <w:rsid w:val="002750B4"/>
    <w:rsid w:val="00285946"/>
    <w:rsid w:val="002E0E1C"/>
    <w:rsid w:val="00365D10"/>
    <w:rsid w:val="003921AF"/>
    <w:rsid w:val="00392C41"/>
    <w:rsid w:val="003B7491"/>
    <w:rsid w:val="003D298F"/>
    <w:rsid w:val="003F6B7C"/>
    <w:rsid w:val="004C17C6"/>
    <w:rsid w:val="00514DBC"/>
    <w:rsid w:val="005200E8"/>
    <w:rsid w:val="00550603"/>
    <w:rsid w:val="00566180"/>
    <w:rsid w:val="005707A2"/>
    <w:rsid w:val="005862F3"/>
    <w:rsid w:val="005C2CCD"/>
    <w:rsid w:val="005D6C67"/>
    <w:rsid w:val="005E23AA"/>
    <w:rsid w:val="00615D95"/>
    <w:rsid w:val="00677864"/>
    <w:rsid w:val="0068339B"/>
    <w:rsid w:val="00691B20"/>
    <w:rsid w:val="0069799B"/>
    <w:rsid w:val="006A4DF5"/>
    <w:rsid w:val="006B2F00"/>
    <w:rsid w:val="006D7D77"/>
    <w:rsid w:val="006E6171"/>
    <w:rsid w:val="00703C45"/>
    <w:rsid w:val="00706D3E"/>
    <w:rsid w:val="00711410"/>
    <w:rsid w:val="00733027"/>
    <w:rsid w:val="00743BFA"/>
    <w:rsid w:val="007D3C7D"/>
    <w:rsid w:val="007E770D"/>
    <w:rsid w:val="008526C5"/>
    <w:rsid w:val="008B2C77"/>
    <w:rsid w:val="008B47B3"/>
    <w:rsid w:val="008C2BC0"/>
    <w:rsid w:val="008C39AE"/>
    <w:rsid w:val="00904FD2"/>
    <w:rsid w:val="00906E8C"/>
    <w:rsid w:val="00917601"/>
    <w:rsid w:val="00934119"/>
    <w:rsid w:val="00944F3C"/>
    <w:rsid w:val="009479BE"/>
    <w:rsid w:val="0096464B"/>
    <w:rsid w:val="0097415B"/>
    <w:rsid w:val="009877A7"/>
    <w:rsid w:val="009A69DE"/>
    <w:rsid w:val="009E550E"/>
    <w:rsid w:val="009F20EF"/>
    <w:rsid w:val="00A04720"/>
    <w:rsid w:val="00A2528B"/>
    <w:rsid w:val="00A252C3"/>
    <w:rsid w:val="00A73E85"/>
    <w:rsid w:val="00AA7EF1"/>
    <w:rsid w:val="00AD46FB"/>
    <w:rsid w:val="00AE273E"/>
    <w:rsid w:val="00AE64A1"/>
    <w:rsid w:val="00AF0B78"/>
    <w:rsid w:val="00B016BE"/>
    <w:rsid w:val="00B31E84"/>
    <w:rsid w:val="00B676E4"/>
    <w:rsid w:val="00B77CC9"/>
    <w:rsid w:val="00B844A3"/>
    <w:rsid w:val="00BA3D57"/>
    <w:rsid w:val="00BC135B"/>
    <w:rsid w:val="00BC310B"/>
    <w:rsid w:val="00BC68AD"/>
    <w:rsid w:val="00BF782D"/>
    <w:rsid w:val="00C43D08"/>
    <w:rsid w:val="00C70955"/>
    <w:rsid w:val="00C82BCB"/>
    <w:rsid w:val="00CD7B42"/>
    <w:rsid w:val="00D050D3"/>
    <w:rsid w:val="00D51148"/>
    <w:rsid w:val="00DA52A9"/>
    <w:rsid w:val="00DA763F"/>
    <w:rsid w:val="00DC46E4"/>
    <w:rsid w:val="00E02042"/>
    <w:rsid w:val="00E2125D"/>
    <w:rsid w:val="00E4349A"/>
    <w:rsid w:val="00E60550"/>
    <w:rsid w:val="00EA3AF2"/>
    <w:rsid w:val="00EC0B71"/>
    <w:rsid w:val="00EF009D"/>
    <w:rsid w:val="00F43FD9"/>
    <w:rsid w:val="00F81325"/>
    <w:rsid w:val="00F96B34"/>
    <w:rsid w:val="00FC4CF6"/>
    <w:rsid w:val="00FD2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2A91D"/>
  <w15:chartTrackingRefBased/>
  <w15:docId w15:val="{9EB0A3E1-DBF4-4E03-A953-20D80775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4119"/>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9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96A"/>
  </w:style>
  <w:style w:type="paragraph" w:styleId="Stopka">
    <w:name w:val="footer"/>
    <w:basedOn w:val="Normalny"/>
    <w:link w:val="StopkaZnak"/>
    <w:uiPriority w:val="99"/>
    <w:unhideWhenUsed/>
    <w:rsid w:val="000A39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96A"/>
  </w:style>
  <w:style w:type="character" w:styleId="Hipercze">
    <w:name w:val="Hyperlink"/>
    <w:basedOn w:val="Domylnaczcionkaakapitu"/>
    <w:uiPriority w:val="99"/>
    <w:unhideWhenUsed/>
    <w:rsid w:val="005D6C67"/>
    <w:rPr>
      <w:color w:val="0563C1" w:themeColor="hyperlink"/>
      <w:u w:val="single"/>
    </w:rPr>
  </w:style>
  <w:style w:type="character" w:customStyle="1" w:styleId="UnresolvedMention">
    <w:name w:val="Unresolved Mention"/>
    <w:basedOn w:val="Domylnaczcionkaakapitu"/>
    <w:uiPriority w:val="99"/>
    <w:semiHidden/>
    <w:unhideWhenUsed/>
    <w:rsid w:val="005D6C67"/>
    <w:rPr>
      <w:color w:val="605E5C"/>
      <w:shd w:val="clear" w:color="auto" w:fill="E1DFDD"/>
    </w:rPr>
  </w:style>
  <w:style w:type="paragraph" w:styleId="Tekstdymka">
    <w:name w:val="Balloon Text"/>
    <w:basedOn w:val="Normalny"/>
    <w:link w:val="TekstdymkaZnak"/>
    <w:uiPriority w:val="99"/>
    <w:semiHidden/>
    <w:unhideWhenUsed/>
    <w:rsid w:val="009341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4119"/>
    <w:rPr>
      <w:rFonts w:ascii="Segoe UI" w:eastAsia="Times New Roman" w:hAnsi="Segoe UI" w:cs="Segoe UI"/>
      <w:sz w:val="18"/>
      <w:szCs w:val="18"/>
      <w:lang w:eastAsia="pl-PL"/>
    </w:rPr>
  </w:style>
  <w:style w:type="paragraph" w:styleId="Akapitzlist">
    <w:name w:val="List Paragraph"/>
    <w:basedOn w:val="Normalny"/>
    <w:uiPriority w:val="34"/>
    <w:qFormat/>
    <w:rsid w:val="00917601"/>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paragraph" w:styleId="HTML-wstpniesformatowany">
    <w:name w:val="HTML Preformatted"/>
    <w:basedOn w:val="Normalny"/>
    <w:link w:val="HTML-wstpniesformatowanyZnak"/>
    <w:uiPriority w:val="99"/>
    <w:semiHidden/>
    <w:unhideWhenUsed/>
    <w:rsid w:val="00EC0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EC0B71"/>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906E8C"/>
    <w:rPr>
      <w:sz w:val="16"/>
      <w:szCs w:val="16"/>
    </w:rPr>
  </w:style>
  <w:style w:type="paragraph" w:styleId="Tekstkomentarza">
    <w:name w:val="annotation text"/>
    <w:basedOn w:val="Normalny"/>
    <w:link w:val="TekstkomentarzaZnak"/>
    <w:uiPriority w:val="99"/>
    <w:semiHidden/>
    <w:unhideWhenUsed/>
    <w:rsid w:val="00906E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6E8C"/>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6E8C"/>
    <w:rPr>
      <w:b/>
      <w:bCs/>
    </w:rPr>
  </w:style>
  <w:style w:type="character" w:customStyle="1" w:styleId="TematkomentarzaZnak">
    <w:name w:val="Temat komentarza Znak"/>
    <w:basedOn w:val="TekstkomentarzaZnak"/>
    <w:link w:val="Tematkomentarza"/>
    <w:uiPriority w:val="99"/>
    <w:semiHidden/>
    <w:rsid w:val="00906E8C"/>
    <w:rPr>
      <w:rFonts w:ascii="Calibri" w:eastAsia="Times New Roman" w:hAnsi="Calibri" w:cs="Times New Roman"/>
      <w:b/>
      <w:bCs/>
      <w:sz w:val="20"/>
      <w:szCs w:val="20"/>
      <w:lang w:eastAsia="pl-PL"/>
    </w:rPr>
  </w:style>
  <w:style w:type="paragraph" w:customStyle="1" w:styleId="Default">
    <w:name w:val="Default"/>
    <w:rsid w:val="007E770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2397">
      <w:bodyDiv w:val="1"/>
      <w:marLeft w:val="0"/>
      <w:marRight w:val="0"/>
      <w:marTop w:val="0"/>
      <w:marBottom w:val="0"/>
      <w:divBdr>
        <w:top w:val="none" w:sz="0" w:space="0" w:color="auto"/>
        <w:left w:val="none" w:sz="0" w:space="0" w:color="auto"/>
        <w:bottom w:val="none" w:sz="0" w:space="0" w:color="auto"/>
        <w:right w:val="none" w:sz="0" w:space="0" w:color="auto"/>
      </w:divBdr>
    </w:div>
    <w:div w:id="535238977">
      <w:bodyDiv w:val="1"/>
      <w:marLeft w:val="0"/>
      <w:marRight w:val="0"/>
      <w:marTop w:val="0"/>
      <w:marBottom w:val="0"/>
      <w:divBdr>
        <w:top w:val="none" w:sz="0" w:space="0" w:color="auto"/>
        <w:left w:val="none" w:sz="0" w:space="0" w:color="auto"/>
        <w:bottom w:val="none" w:sz="0" w:space="0" w:color="auto"/>
        <w:right w:val="none" w:sz="0" w:space="0" w:color="auto"/>
      </w:divBdr>
    </w:div>
    <w:div w:id="537012127">
      <w:bodyDiv w:val="1"/>
      <w:marLeft w:val="0"/>
      <w:marRight w:val="0"/>
      <w:marTop w:val="0"/>
      <w:marBottom w:val="0"/>
      <w:divBdr>
        <w:top w:val="none" w:sz="0" w:space="0" w:color="auto"/>
        <w:left w:val="none" w:sz="0" w:space="0" w:color="auto"/>
        <w:bottom w:val="none" w:sz="0" w:space="0" w:color="auto"/>
        <w:right w:val="none" w:sz="0" w:space="0" w:color="auto"/>
      </w:divBdr>
    </w:div>
    <w:div w:id="798840100">
      <w:bodyDiv w:val="1"/>
      <w:marLeft w:val="0"/>
      <w:marRight w:val="0"/>
      <w:marTop w:val="0"/>
      <w:marBottom w:val="0"/>
      <w:divBdr>
        <w:top w:val="none" w:sz="0" w:space="0" w:color="auto"/>
        <w:left w:val="none" w:sz="0" w:space="0" w:color="auto"/>
        <w:bottom w:val="none" w:sz="0" w:space="0" w:color="auto"/>
        <w:right w:val="none" w:sz="0" w:space="0" w:color="auto"/>
      </w:divBdr>
      <w:divsChild>
        <w:div w:id="1588466223">
          <w:marLeft w:val="0"/>
          <w:marRight w:val="0"/>
          <w:marTop w:val="0"/>
          <w:marBottom w:val="0"/>
          <w:divBdr>
            <w:top w:val="none" w:sz="0" w:space="0" w:color="auto"/>
            <w:left w:val="none" w:sz="0" w:space="0" w:color="auto"/>
            <w:bottom w:val="none" w:sz="0" w:space="0" w:color="auto"/>
            <w:right w:val="none" w:sz="0" w:space="0" w:color="auto"/>
          </w:divBdr>
        </w:div>
        <w:div w:id="345638430">
          <w:marLeft w:val="0"/>
          <w:marRight w:val="0"/>
          <w:marTop w:val="0"/>
          <w:marBottom w:val="0"/>
          <w:divBdr>
            <w:top w:val="none" w:sz="0" w:space="0" w:color="auto"/>
            <w:left w:val="none" w:sz="0" w:space="0" w:color="auto"/>
            <w:bottom w:val="none" w:sz="0" w:space="0" w:color="auto"/>
            <w:right w:val="none" w:sz="0" w:space="0" w:color="auto"/>
          </w:divBdr>
        </w:div>
      </w:divsChild>
    </w:div>
    <w:div w:id="895897522">
      <w:bodyDiv w:val="1"/>
      <w:marLeft w:val="0"/>
      <w:marRight w:val="0"/>
      <w:marTop w:val="0"/>
      <w:marBottom w:val="0"/>
      <w:divBdr>
        <w:top w:val="none" w:sz="0" w:space="0" w:color="auto"/>
        <w:left w:val="none" w:sz="0" w:space="0" w:color="auto"/>
        <w:bottom w:val="none" w:sz="0" w:space="0" w:color="auto"/>
        <w:right w:val="none" w:sz="0" w:space="0" w:color="auto"/>
      </w:divBdr>
    </w:div>
    <w:div w:id="947394719">
      <w:bodyDiv w:val="1"/>
      <w:marLeft w:val="0"/>
      <w:marRight w:val="0"/>
      <w:marTop w:val="0"/>
      <w:marBottom w:val="0"/>
      <w:divBdr>
        <w:top w:val="none" w:sz="0" w:space="0" w:color="auto"/>
        <w:left w:val="none" w:sz="0" w:space="0" w:color="auto"/>
        <w:bottom w:val="none" w:sz="0" w:space="0" w:color="auto"/>
        <w:right w:val="none" w:sz="0" w:space="0" w:color="auto"/>
      </w:divBdr>
    </w:div>
    <w:div w:id="1280648111">
      <w:bodyDiv w:val="1"/>
      <w:marLeft w:val="0"/>
      <w:marRight w:val="0"/>
      <w:marTop w:val="0"/>
      <w:marBottom w:val="0"/>
      <w:divBdr>
        <w:top w:val="none" w:sz="0" w:space="0" w:color="auto"/>
        <w:left w:val="none" w:sz="0" w:space="0" w:color="auto"/>
        <w:bottom w:val="none" w:sz="0" w:space="0" w:color="auto"/>
        <w:right w:val="none" w:sz="0" w:space="0" w:color="auto"/>
      </w:divBdr>
    </w:div>
    <w:div w:id="1501847745">
      <w:bodyDiv w:val="1"/>
      <w:marLeft w:val="0"/>
      <w:marRight w:val="0"/>
      <w:marTop w:val="0"/>
      <w:marBottom w:val="0"/>
      <w:divBdr>
        <w:top w:val="none" w:sz="0" w:space="0" w:color="auto"/>
        <w:left w:val="none" w:sz="0" w:space="0" w:color="auto"/>
        <w:bottom w:val="none" w:sz="0" w:space="0" w:color="auto"/>
        <w:right w:val="none" w:sz="0" w:space="0" w:color="auto"/>
      </w:divBdr>
    </w:div>
    <w:div w:id="2003390136">
      <w:bodyDiv w:val="1"/>
      <w:marLeft w:val="0"/>
      <w:marRight w:val="0"/>
      <w:marTop w:val="0"/>
      <w:marBottom w:val="0"/>
      <w:divBdr>
        <w:top w:val="none" w:sz="0" w:space="0" w:color="auto"/>
        <w:left w:val="none" w:sz="0" w:space="0" w:color="auto"/>
        <w:bottom w:val="none" w:sz="0" w:space="0" w:color="auto"/>
        <w:right w:val="none" w:sz="0" w:space="0" w:color="auto"/>
      </w:divBdr>
    </w:div>
    <w:div w:id="201688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16B9-7ED9-4CB5-BE7E-7AC2D651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602</Words>
  <Characters>3618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kchgr</dc:creator>
  <cp:keywords/>
  <dc:description/>
  <cp:lastModifiedBy>GUMed</cp:lastModifiedBy>
  <cp:revision>4</cp:revision>
  <cp:lastPrinted>2024-07-23T06:40:00Z</cp:lastPrinted>
  <dcterms:created xsi:type="dcterms:W3CDTF">2024-07-23T06:34:00Z</dcterms:created>
  <dcterms:modified xsi:type="dcterms:W3CDTF">2024-07-23T06:44:00Z</dcterms:modified>
</cp:coreProperties>
</file>