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5A374" w14:textId="77777777" w:rsidR="009A74E0" w:rsidRDefault="009A74E0" w:rsidP="009A74E0">
      <w:pPr>
        <w:spacing w:line="276" w:lineRule="auto"/>
        <w:jc w:val="right"/>
        <w:rPr>
          <w:rFonts w:cstheme="minorHAnsi"/>
          <w:b/>
          <w:sz w:val="20"/>
          <w:szCs w:val="20"/>
        </w:rPr>
      </w:pPr>
      <w:r>
        <w:rPr>
          <w:rFonts w:cstheme="minorHAnsi"/>
          <w:b/>
          <w:sz w:val="20"/>
          <w:szCs w:val="20"/>
        </w:rPr>
        <w:t>Załącznik nr 1 – wstępny Opis przedmiotu zamówienia</w:t>
      </w:r>
    </w:p>
    <w:p w14:paraId="6258516E" w14:textId="7EE0F0D4" w:rsidR="009C5374" w:rsidRPr="00CB3EBB" w:rsidRDefault="009C5374" w:rsidP="00481CAE">
      <w:pPr>
        <w:jc w:val="center"/>
        <w:rPr>
          <w:rFonts w:asciiTheme="majorHAnsi" w:eastAsiaTheme="majorEastAsia" w:hAnsiTheme="majorHAnsi" w:cstheme="majorBidi"/>
          <w:sz w:val="28"/>
          <w:szCs w:val="32"/>
        </w:rPr>
      </w:pPr>
    </w:p>
    <w:p w14:paraId="16BA69A9" w14:textId="29F8C874" w:rsidR="00481CAE" w:rsidRPr="00CB3EBB" w:rsidRDefault="00481CAE" w:rsidP="00481CAE">
      <w:pPr>
        <w:jc w:val="center"/>
        <w:rPr>
          <w:rFonts w:asciiTheme="majorHAnsi" w:eastAsiaTheme="majorEastAsia" w:hAnsiTheme="majorHAnsi" w:cstheme="majorBidi"/>
          <w:sz w:val="28"/>
          <w:szCs w:val="32"/>
        </w:rPr>
      </w:pPr>
    </w:p>
    <w:p w14:paraId="6F787101" w14:textId="77777777" w:rsidR="00481CAE" w:rsidRPr="00CB3EBB" w:rsidRDefault="00481CAE" w:rsidP="00481CAE">
      <w:pPr>
        <w:jc w:val="center"/>
        <w:rPr>
          <w:rFonts w:asciiTheme="majorHAnsi" w:eastAsiaTheme="majorEastAsia" w:hAnsiTheme="majorHAnsi" w:cstheme="majorBidi"/>
          <w:sz w:val="28"/>
          <w:szCs w:val="32"/>
        </w:rPr>
      </w:pPr>
    </w:p>
    <w:p w14:paraId="1FE4B1F2" w14:textId="77777777" w:rsidR="00481CAE" w:rsidRPr="00CB3EBB" w:rsidRDefault="00481CAE" w:rsidP="00481CAE">
      <w:pPr>
        <w:jc w:val="center"/>
        <w:rPr>
          <w:rFonts w:asciiTheme="majorHAnsi" w:eastAsiaTheme="majorEastAsia" w:hAnsiTheme="majorHAnsi" w:cstheme="majorBidi"/>
          <w:sz w:val="28"/>
          <w:szCs w:val="32"/>
        </w:rPr>
      </w:pPr>
    </w:p>
    <w:p w14:paraId="33CDDF57" w14:textId="77777777" w:rsidR="00481CAE" w:rsidRPr="00CB3EBB" w:rsidRDefault="00481CAE" w:rsidP="00481CAE">
      <w:pPr>
        <w:jc w:val="center"/>
        <w:rPr>
          <w:rFonts w:asciiTheme="majorHAnsi" w:eastAsiaTheme="majorEastAsia" w:hAnsiTheme="majorHAnsi" w:cstheme="majorBidi"/>
          <w:sz w:val="28"/>
          <w:szCs w:val="32"/>
        </w:rPr>
      </w:pPr>
    </w:p>
    <w:p w14:paraId="57A3A7E5" w14:textId="77777777" w:rsidR="00481CAE" w:rsidRPr="00CB3EBB" w:rsidRDefault="00481CAE" w:rsidP="00481CAE">
      <w:pPr>
        <w:jc w:val="center"/>
        <w:rPr>
          <w:rFonts w:asciiTheme="majorHAnsi" w:eastAsiaTheme="majorEastAsia" w:hAnsiTheme="majorHAnsi" w:cstheme="majorBidi"/>
          <w:sz w:val="28"/>
          <w:szCs w:val="32"/>
        </w:rPr>
      </w:pPr>
    </w:p>
    <w:p w14:paraId="3689C083" w14:textId="77777777" w:rsidR="00481CAE" w:rsidRPr="00CB3EBB" w:rsidRDefault="00481CAE" w:rsidP="00481CAE">
      <w:pPr>
        <w:jc w:val="center"/>
        <w:rPr>
          <w:rFonts w:asciiTheme="majorHAnsi" w:eastAsiaTheme="majorEastAsia" w:hAnsiTheme="majorHAnsi" w:cstheme="majorBidi"/>
          <w:sz w:val="28"/>
          <w:szCs w:val="32"/>
        </w:rPr>
      </w:pPr>
    </w:p>
    <w:p w14:paraId="6A464AA0" w14:textId="737A17E7" w:rsidR="009C5374" w:rsidRPr="00CB3EBB" w:rsidRDefault="009C5374" w:rsidP="006A0CCD">
      <w:pPr>
        <w:spacing w:after="0" w:line="360" w:lineRule="auto"/>
        <w:jc w:val="center"/>
        <w:rPr>
          <w:rFonts w:cstheme="minorHAnsi"/>
          <w:b/>
          <w:bCs/>
          <w:sz w:val="48"/>
          <w:szCs w:val="48"/>
        </w:rPr>
      </w:pPr>
      <w:r w:rsidRPr="00CB3EBB">
        <w:rPr>
          <w:rFonts w:cstheme="minorHAnsi"/>
          <w:b/>
          <w:bCs/>
          <w:sz w:val="48"/>
          <w:szCs w:val="48"/>
        </w:rPr>
        <w:t>Opis Przedmiotu Zamówienia na</w:t>
      </w:r>
      <w:r w:rsidR="00481CAE" w:rsidRPr="00CB3EBB">
        <w:rPr>
          <w:rFonts w:cstheme="minorHAnsi"/>
          <w:b/>
          <w:bCs/>
          <w:sz w:val="48"/>
          <w:szCs w:val="48"/>
        </w:rPr>
        <w:t> </w:t>
      </w:r>
      <w:r w:rsidR="00FB0CE2">
        <w:rPr>
          <w:rFonts w:cstheme="minorHAnsi"/>
          <w:b/>
          <w:bCs/>
          <w:sz w:val="48"/>
          <w:szCs w:val="48"/>
        </w:rPr>
        <w:t>u</w:t>
      </w:r>
      <w:r w:rsidR="00FB0CE2" w:rsidRPr="00FB0CE2">
        <w:rPr>
          <w:rFonts w:cstheme="minorHAnsi"/>
          <w:b/>
          <w:bCs/>
          <w:sz w:val="48"/>
          <w:szCs w:val="48"/>
        </w:rPr>
        <w:t>sługę polegająca na zaprojektowaniu, wykonaniu, dostawie, montażu i uruchomieniu urządzeń do podczyszczania ścieków przemysłowych pochodzących z procesu waloryzacji i sezonowania odpadu</w:t>
      </w:r>
    </w:p>
    <w:p w14:paraId="696B1533" w14:textId="77777777" w:rsidR="00FB0CE2" w:rsidRPr="00FB0CE2" w:rsidRDefault="00481CAE" w:rsidP="00FB0CE2">
      <w:pPr>
        <w:pStyle w:val="Default"/>
        <w:spacing w:line="276" w:lineRule="auto"/>
        <w:jc w:val="both"/>
        <w:rPr>
          <w:rFonts w:ascii="Calibri" w:hAnsi="Calibri" w:cs="Calibri"/>
          <w:sz w:val="20"/>
          <w:szCs w:val="20"/>
        </w:rPr>
      </w:pPr>
      <w:r w:rsidRPr="00CB3EBB">
        <w:rPr>
          <w:rFonts w:cstheme="minorHAnsi"/>
          <w:b/>
          <w:bCs/>
          <w:sz w:val="28"/>
          <w:szCs w:val="28"/>
        </w:rPr>
        <w:br w:type="page"/>
      </w:r>
      <w:r w:rsidR="00FB0CE2" w:rsidRPr="00FB0CE2">
        <w:rPr>
          <w:rFonts w:ascii="Calibri" w:hAnsi="Calibri" w:cs="Calibri"/>
          <w:sz w:val="20"/>
          <w:szCs w:val="20"/>
        </w:rPr>
        <w:lastRenderedPageBreak/>
        <w:t xml:space="preserve">Przedmiotem zamówienia jest zaprojektowanie, wykonanie, dostawa, montaż i uruchomienie urządzeń do podczyszczania ścieków przemysłowych pochodzących z procesu waloryzacji i sezonowania odpadu o kodzie 19 01 12 – żużle i popioły paleniskowe inne niż wymienione w 19 01 11*. </w:t>
      </w:r>
    </w:p>
    <w:p w14:paraId="4C1930C0" w14:textId="77777777" w:rsidR="00FB0CE2" w:rsidRPr="00FB0CE2" w:rsidRDefault="00FB0CE2" w:rsidP="00FB0CE2">
      <w:pPr>
        <w:autoSpaceDE w:val="0"/>
        <w:autoSpaceDN w:val="0"/>
        <w:adjustRightInd w:val="0"/>
        <w:spacing w:after="142" w:line="276" w:lineRule="auto"/>
        <w:jc w:val="both"/>
        <w:rPr>
          <w:rFonts w:ascii="Calibri" w:eastAsia="Calibri" w:hAnsi="Calibri" w:cs="Calibri"/>
          <w:color w:val="000000"/>
          <w:sz w:val="20"/>
          <w:szCs w:val="20"/>
        </w:rPr>
      </w:pPr>
    </w:p>
    <w:p w14:paraId="7D700CD0" w14:textId="77777777" w:rsidR="00FB0CE2" w:rsidRPr="00FB0CE2" w:rsidRDefault="00FB0CE2" w:rsidP="00FB0CE2">
      <w:pPr>
        <w:numPr>
          <w:ilvl w:val="0"/>
          <w:numId w:val="59"/>
        </w:numPr>
        <w:autoSpaceDE w:val="0"/>
        <w:autoSpaceDN w:val="0"/>
        <w:adjustRightInd w:val="0"/>
        <w:spacing w:after="142" w:line="276" w:lineRule="auto"/>
        <w:jc w:val="both"/>
        <w:rPr>
          <w:rFonts w:ascii="Calibri" w:eastAsia="Calibri" w:hAnsi="Calibri" w:cs="Calibri"/>
          <w:b/>
          <w:bCs/>
          <w:color w:val="000000"/>
          <w:sz w:val="20"/>
          <w:szCs w:val="20"/>
        </w:rPr>
      </w:pPr>
      <w:r w:rsidRPr="00FB0CE2">
        <w:rPr>
          <w:rFonts w:ascii="Calibri" w:eastAsia="Calibri" w:hAnsi="Calibri" w:cs="Calibri"/>
          <w:b/>
          <w:bCs/>
          <w:color w:val="000000"/>
          <w:sz w:val="20"/>
          <w:szCs w:val="20"/>
        </w:rPr>
        <w:t xml:space="preserve">Zakres zamówienia obejmuje: </w:t>
      </w:r>
    </w:p>
    <w:p w14:paraId="4EA88A50" w14:textId="77777777" w:rsidR="00FB0CE2" w:rsidRPr="00FB0CE2" w:rsidRDefault="00FB0CE2" w:rsidP="00FB0CE2">
      <w:pPr>
        <w:numPr>
          <w:ilvl w:val="0"/>
          <w:numId w:val="62"/>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opracowanie projektu technologicznego, projektu branży elektrycznej i projektu branży </w:t>
      </w:r>
      <w:proofErr w:type="spellStart"/>
      <w:r w:rsidRPr="00FB0CE2">
        <w:rPr>
          <w:rFonts w:ascii="Calibri" w:eastAsia="Calibri" w:hAnsi="Calibri" w:cs="Calibri"/>
          <w:color w:val="000000"/>
          <w:sz w:val="20"/>
          <w:szCs w:val="20"/>
        </w:rPr>
        <w:t>AKPiA</w:t>
      </w:r>
      <w:proofErr w:type="spellEnd"/>
      <w:r w:rsidRPr="00FB0CE2">
        <w:rPr>
          <w:rFonts w:ascii="Calibri" w:eastAsia="Calibri" w:hAnsi="Calibri" w:cs="Calibri"/>
          <w:color w:val="000000"/>
          <w:sz w:val="20"/>
          <w:szCs w:val="20"/>
        </w:rPr>
        <w:t>,</w:t>
      </w:r>
    </w:p>
    <w:p w14:paraId="32CEF78E" w14:textId="77777777" w:rsidR="00FB0CE2" w:rsidRPr="00FB0CE2" w:rsidRDefault="00FB0CE2" w:rsidP="00FB0CE2">
      <w:pPr>
        <w:numPr>
          <w:ilvl w:val="0"/>
          <w:numId w:val="62"/>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wykonanie urządzeń służących do podczyszczania ścieków przemysłowych i odwadniania oraz magazynowania osadów ściekowych wraz z infrastrukturą kontrolno-pomiarową, tłoczącą i przesyłową ścieków oraz wykonanie zbiornika buforowego i wykonanie zbiornika odwodnionego osadu ściekowego wraz z infrastrukturą kontrolno- pomiarową, tłoczącą i przesyłową ścieków, </w:t>
      </w:r>
    </w:p>
    <w:p w14:paraId="48FBC9EB" w14:textId="77777777" w:rsidR="00FB0CE2" w:rsidRPr="00FB0CE2" w:rsidRDefault="00FB0CE2" w:rsidP="00FB0CE2">
      <w:pPr>
        <w:numPr>
          <w:ilvl w:val="0"/>
          <w:numId w:val="62"/>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demontaż lub przesunięcie istniejących urządzeń w zakresie wymaganym w celu montażu nowych urządzeń,</w:t>
      </w:r>
    </w:p>
    <w:p w14:paraId="7E7E1336" w14:textId="77777777" w:rsidR="00FB0CE2" w:rsidRPr="00FB0CE2" w:rsidRDefault="00FB0CE2" w:rsidP="00FB0CE2">
      <w:pPr>
        <w:numPr>
          <w:ilvl w:val="0"/>
          <w:numId w:val="62"/>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dostawę urządzeń, </w:t>
      </w:r>
    </w:p>
    <w:p w14:paraId="45B3EC76" w14:textId="77777777" w:rsidR="00FB0CE2" w:rsidRPr="00FB0CE2" w:rsidRDefault="00FB0CE2" w:rsidP="00FB0CE2">
      <w:pPr>
        <w:numPr>
          <w:ilvl w:val="0"/>
          <w:numId w:val="62"/>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montaż urządzeń, </w:t>
      </w:r>
    </w:p>
    <w:p w14:paraId="22834FCC" w14:textId="77777777" w:rsidR="00FB0CE2" w:rsidRPr="00FB0CE2" w:rsidRDefault="00FB0CE2" w:rsidP="00FB0CE2">
      <w:pPr>
        <w:numPr>
          <w:ilvl w:val="0"/>
          <w:numId w:val="62"/>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adaptację istniejącej infrastruktury służącej do tłoczenia i </w:t>
      </w:r>
      <w:proofErr w:type="spellStart"/>
      <w:r w:rsidRPr="00FB0CE2">
        <w:rPr>
          <w:rFonts w:ascii="Calibri" w:eastAsia="Calibri" w:hAnsi="Calibri" w:cs="Calibri"/>
          <w:color w:val="000000"/>
          <w:sz w:val="20"/>
          <w:szCs w:val="20"/>
        </w:rPr>
        <w:t>przesyłu</w:t>
      </w:r>
      <w:proofErr w:type="spellEnd"/>
      <w:r w:rsidRPr="00FB0CE2">
        <w:rPr>
          <w:rFonts w:ascii="Calibri" w:eastAsia="Calibri" w:hAnsi="Calibri" w:cs="Calibri"/>
          <w:color w:val="000000"/>
          <w:sz w:val="20"/>
          <w:szCs w:val="20"/>
        </w:rPr>
        <w:t xml:space="preserve"> ścieków, </w:t>
      </w:r>
    </w:p>
    <w:p w14:paraId="2299124A" w14:textId="77777777" w:rsidR="00FB0CE2" w:rsidRPr="00FB0CE2" w:rsidRDefault="00FB0CE2" w:rsidP="00FB0CE2">
      <w:pPr>
        <w:numPr>
          <w:ilvl w:val="0"/>
          <w:numId w:val="62"/>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uruchomienie urządzeń wraz z przeprowadzeniem rozruchu i szkolenia z obsługi urządzeń, </w:t>
      </w:r>
    </w:p>
    <w:p w14:paraId="655F57CE" w14:textId="77777777" w:rsidR="00FB0CE2" w:rsidRPr="00FB0CE2" w:rsidRDefault="00FB0CE2" w:rsidP="00FB0CE2">
      <w:pPr>
        <w:numPr>
          <w:ilvl w:val="0"/>
          <w:numId w:val="62"/>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dostarczenie wszelkich dokumentów projektowych wraz z dokumentacją </w:t>
      </w:r>
      <w:proofErr w:type="spellStart"/>
      <w:r w:rsidRPr="00FB0CE2">
        <w:rPr>
          <w:rFonts w:ascii="Calibri" w:eastAsia="Calibri" w:hAnsi="Calibri" w:cs="Calibri"/>
          <w:color w:val="000000"/>
          <w:sz w:val="20"/>
          <w:szCs w:val="20"/>
        </w:rPr>
        <w:t>techniczno</w:t>
      </w:r>
      <w:proofErr w:type="spellEnd"/>
      <w:r w:rsidRPr="00FB0CE2">
        <w:rPr>
          <w:rFonts w:ascii="Calibri" w:eastAsia="Calibri" w:hAnsi="Calibri" w:cs="Calibri"/>
          <w:color w:val="000000"/>
          <w:sz w:val="20"/>
          <w:szCs w:val="20"/>
        </w:rPr>
        <w:t xml:space="preserve"> – ruchową urządzeń i infrastruktury pomocniczej, </w:t>
      </w:r>
    </w:p>
    <w:p w14:paraId="15B85926" w14:textId="77777777" w:rsidR="00FB0CE2" w:rsidRPr="00FB0CE2" w:rsidRDefault="00FB0CE2" w:rsidP="00FB0CE2">
      <w:pPr>
        <w:numPr>
          <w:ilvl w:val="0"/>
          <w:numId w:val="62"/>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udzielenie gwarancji na dostarczone urządzenie do podczyszczania ścieków przemysłowych na okres minimum 24 miesięcy </w:t>
      </w:r>
    </w:p>
    <w:p w14:paraId="5C40BC14" w14:textId="77777777" w:rsidR="00FB0CE2" w:rsidRPr="00FB0CE2" w:rsidRDefault="00FB0CE2" w:rsidP="00FB0CE2">
      <w:pPr>
        <w:numPr>
          <w:ilvl w:val="0"/>
          <w:numId w:val="62"/>
        </w:numPr>
        <w:spacing w:after="200" w:line="276" w:lineRule="auto"/>
        <w:contextualSpacing/>
        <w:rPr>
          <w:rFonts w:ascii="Calibri" w:eastAsia="Calibri" w:hAnsi="Calibri" w:cs="Calibri"/>
          <w:color w:val="000000"/>
          <w:sz w:val="20"/>
          <w:szCs w:val="20"/>
        </w:rPr>
      </w:pPr>
      <w:r w:rsidRPr="00FB0CE2">
        <w:rPr>
          <w:rFonts w:ascii="Calibri" w:eastAsia="Calibri" w:hAnsi="Calibri" w:cs="Calibri"/>
          <w:color w:val="000000"/>
          <w:sz w:val="20"/>
          <w:szCs w:val="20"/>
        </w:rPr>
        <w:t xml:space="preserve">jednorazowy komplet części zamiennych i części szybkozużywających się  </w:t>
      </w:r>
    </w:p>
    <w:p w14:paraId="3A7C2ABA"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487FE4C8" w14:textId="77777777" w:rsidR="00FB0CE2" w:rsidRPr="00FB0CE2" w:rsidRDefault="00FB0CE2" w:rsidP="00FB0CE2">
      <w:pPr>
        <w:numPr>
          <w:ilvl w:val="0"/>
          <w:numId w:val="59"/>
        </w:numPr>
        <w:autoSpaceDE w:val="0"/>
        <w:autoSpaceDN w:val="0"/>
        <w:adjustRightInd w:val="0"/>
        <w:spacing w:after="0" w:line="276" w:lineRule="auto"/>
        <w:ind w:left="360"/>
        <w:jc w:val="both"/>
        <w:rPr>
          <w:rFonts w:ascii="Calibri" w:eastAsia="Calibri" w:hAnsi="Calibri" w:cs="Calibri"/>
          <w:b/>
          <w:bCs/>
          <w:color w:val="000000"/>
          <w:sz w:val="20"/>
          <w:szCs w:val="20"/>
        </w:rPr>
      </w:pPr>
      <w:r w:rsidRPr="00FB0CE2">
        <w:rPr>
          <w:rFonts w:ascii="Calibri" w:eastAsia="Calibri" w:hAnsi="Calibri" w:cs="Calibri"/>
          <w:b/>
          <w:bCs/>
          <w:color w:val="000000"/>
          <w:sz w:val="20"/>
          <w:szCs w:val="20"/>
        </w:rPr>
        <w:t xml:space="preserve">Opis istniejących urządzeń: </w:t>
      </w:r>
    </w:p>
    <w:p w14:paraId="6D78A3DF"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48338C56"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Zadanie zostanie zrealizowane na terenie Zakładu Termicznego Przekształcania Odpadów w Krakowie, zlokalizowanego przy ulicy Jerzego Giedroycia 23 w Krakowie. Urządzenia należy zamontować w pomieszczeniu pompowni ścieków o wymiarach 6,25 x 6,45 x 3,70 m (długość x szerokość x wysokość). Drzwi wejściowe do pomieszczenia pompowni posiadają wymiary 180 x 200 cm (szerokość x wysokość). W pomieszczeniu zlokalizowana jest istniejąca infrastruktura: </w:t>
      </w:r>
    </w:p>
    <w:p w14:paraId="7C9B8F7D" w14:textId="77777777" w:rsidR="00FB0CE2" w:rsidRPr="00FB0CE2" w:rsidRDefault="00FB0CE2" w:rsidP="00FB0CE2">
      <w:pPr>
        <w:numPr>
          <w:ilvl w:val="0"/>
          <w:numId w:val="60"/>
        </w:numPr>
        <w:autoSpaceDE w:val="0"/>
        <w:autoSpaceDN w:val="0"/>
        <w:adjustRightInd w:val="0"/>
        <w:spacing w:after="0" w:line="276" w:lineRule="auto"/>
        <w:ind w:left="709" w:hanging="425"/>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żelbetowa </w:t>
      </w:r>
      <w:proofErr w:type="spellStart"/>
      <w:r w:rsidRPr="00FB0CE2">
        <w:rPr>
          <w:rFonts w:ascii="Calibri" w:eastAsia="Calibri" w:hAnsi="Calibri" w:cs="Calibri"/>
          <w:color w:val="000000"/>
          <w:sz w:val="20"/>
          <w:szCs w:val="20"/>
        </w:rPr>
        <w:t>podposadzkowa</w:t>
      </w:r>
      <w:proofErr w:type="spellEnd"/>
      <w:r w:rsidRPr="00FB0CE2">
        <w:rPr>
          <w:rFonts w:ascii="Calibri" w:eastAsia="Calibri" w:hAnsi="Calibri" w:cs="Calibri"/>
          <w:color w:val="000000"/>
          <w:sz w:val="20"/>
          <w:szCs w:val="20"/>
        </w:rPr>
        <w:t xml:space="preserve"> pompownia ścieków surowych o wymiarach 1,5 m x 1,5 m x 1,45 m (długość x szerokość x wysokość),</w:t>
      </w:r>
    </w:p>
    <w:p w14:paraId="76DC9CDA" w14:textId="77777777" w:rsidR="00FB0CE2" w:rsidRPr="00FB0CE2" w:rsidRDefault="00FB0CE2" w:rsidP="00FB0CE2">
      <w:pPr>
        <w:numPr>
          <w:ilvl w:val="0"/>
          <w:numId w:val="60"/>
        </w:numPr>
        <w:autoSpaceDE w:val="0"/>
        <w:autoSpaceDN w:val="0"/>
        <w:adjustRightInd w:val="0"/>
        <w:spacing w:after="0" w:line="276" w:lineRule="auto"/>
        <w:ind w:left="709" w:hanging="425"/>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istniejący separator (osadnik), </w:t>
      </w:r>
    </w:p>
    <w:p w14:paraId="087A4D83" w14:textId="77777777" w:rsidR="00FB0CE2" w:rsidRPr="00FB0CE2" w:rsidRDefault="00FB0CE2" w:rsidP="00FB0CE2">
      <w:pPr>
        <w:numPr>
          <w:ilvl w:val="0"/>
          <w:numId w:val="60"/>
        </w:numPr>
        <w:autoSpaceDE w:val="0"/>
        <w:autoSpaceDN w:val="0"/>
        <w:adjustRightInd w:val="0"/>
        <w:spacing w:after="0" w:line="276" w:lineRule="auto"/>
        <w:ind w:left="709" w:hanging="425"/>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infrastruktura pomocnicza w postaci rurociągów, zaworów, oraz pomp odpowiedzialnych za tłoczenie ścieków przemysłowych do zakładowej podczyszczalni ścieków lub na cele technologiczne (do zraszania odpadów o kodzie 19 01 12 w hali sezonowania), </w:t>
      </w:r>
    </w:p>
    <w:p w14:paraId="56FC46DF" w14:textId="77777777" w:rsidR="00FB0CE2" w:rsidRPr="00FB0CE2" w:rsidRDefault="00FB0CE2" w:rsidP="00FB0CE2">
      <w:pPr>
        <w:numPr>
          <w:ilvl w:val="0"/>
          <w:numId w:val="60"/>
        </w:numPr>
        <w:autoSpaceDE w:val="0"/>
        <w:autoSpaceDN w:val="0"/>
        <w:adjustRightInd w:val="0"/>
        <w:spacing w:after="0" w:line="276" w:lineRule="auto"/>
        <w:ind w:left="709" w:hanging="425"/>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układ pomiarowy składający się z przepływomierza, oraz aparatury </w:t>
      </w:r>
      <w:proofErr w:type="spellStart"/>
      <w:r w:rsidRPr="00FB0CE2">
        <w:rPr>
          <w:rFonts w:ascii="Calibri" w:eastAsia="Calibri" w:hAnsi="Calibri" w:cs="Calibri"/>
          <w:color w:val="000000"/>
          <w:sz w:val="20"/>
          <w:szCs w:val="20"/>
        </w:rPr>
        <w:t>kontrolno</w:t>
      </w:r>
      <w:proofErr w:type="spellEnd"/>
      <w:r w:rsidRPr="00FB0CE2">
        <w:rPr>
          <w:rFonts w:ascii="Calibri" w:eastAsia="Calibri" w:hAnsi="Calibri" w:cs="Calibri"/>
          <w:color w:val="000000"/>
          <w:sz w:val="20"/>
          <w:szCs w:val="20"/>
        </w:rPr>
        <w:t xml:space="preserve"> – pomiarowej odpowiedzialnej za pomiar przewodnictwa i </w:t>
      </w:r>
      <w:proofErr w:type="spellStart"/>
      <w:r w:rsidRPr="00FB0CE2">
        <w:rPr>
          <w:rFonts w:ascii="Calibri" w:eastAsia="Calibri" w:hAnsi="Calibri" w:cs="Calibri"/>
          <w:color w:val="000000"/>
          <w:sz w:val="20"/>
          <w:szCs w:val="20"/>
        </w:rPr>
        <w:t>pH</w:t>
      </w:r>
      <w:proofErr w:type="spellEnd"/>
      <w:r w:rsidRPr="00FB0CE2">
        <w:rPr>
          <w:rFonts w:ascii="Calibri" w:eastAsia="Calibri" w:hAnsi="Calibri" w:cs="Calibri"/>
          <w:color w:val="000000"/>
          <w:sz w:val="20"/>
          <w:szCs w:val="20"/>
        </w:rPr>
        <w:t xml:space="preserve"> podczyszczonych ścieków (poza zakresem niniejszego zamówienia). </w:t>
      </w:r>
    </w:p>
    <w:p w14:paraId="2737C044" w14:textId="77777777" w:rsidR="00FB0CE2" w:rsidRPr="00FB0CE2" w:rsidRDefault="00FB0CE2" w:rsidP="00FB0CE2">
      <w:pPr>
        <w:spacing w:after="200" w:line="276" w:lineRule="auto"/>
        <w:ind w:left="709"/>
        <w:jc w:val="both"/>
        <w:rPr>
          <w:rFonts w:ascii="Calibri" w:eastAsia="Calibri" w:hAnsi="Calibri" w:cs="Calibri"/>
          <w:sz w:val="20"/>
          <w:szCs w:val="20"/>
        </w:rPr>
      </w:pPr>
      <w:r w:rsidRPr="00FB0CE2">
        <w:rPr>
          <w:rFonts w:ascii="Calibri" w:eastAsia="Calibri" w:hAnsi="Calibri" w:cs="Calibri"/>
          <w:sz w:val="20"/>
          <w:szCs w:val="20"/>
        </w:rPr>
        <w:t xml:space="preserve">- w pomieszczeniu pompowni ścieków zlokalizowana jest pompownia ścieków surowych wraz z pompą i czujnikiem poziomu, separator i układ dwóch pomp służących do tłoczenia podczyszczonych ścieków. Za tłoczenie ścieków odpowiadają dwie pompy suche w wersji blokowej KSB </w:t>
      </w:r>
      <w:proofErr w:type="spellStart"/>
      <w:r w:rsidRPr="00FB0CE2">
        <w:rPr>
          <w:rFonts w:ascii="Calibri" w:eastAsia="Calibri" w:hAnsi="Calibri" w:cs="Calibri"/>
          <w:sz w:val="20"/>
          <w:szCs w:val="20"/>
        </w:rPr>
        <w:t>Sewabloc</w:t>
      </w:r>
      <w:proofErr w:type="spellEnd"/>
      <w:r w:rsidRPr="00FB0CE2">
        <w:rPr>
          <w:rFonts w:ascii="Calibri" w:eastAsia="Calibri" w:hAnsi="Calibri" w:cs="Calibri"/>
          <w:sz w:val="20"/>
          <w:szCs w:val="20"/>
        </w:rPr>
        <w:t xml:space="preserve"> F 050-251G2 H 13S (Q = 3 – 18 m3 / h). Istniejący rurociąg tłoczący ścieki o średnicy 63 mm wykonano z PE SDR. Podczyszczone ścieki mogą być wykorzystane na cele technologiczne lub mogą zostać skierowane do zakładowej podczyszczalni ścieków.</w:t>
      </w:r>
    </w:p>
    <w:p w14:paraId="20D7AFB8" w14:textId="77777777" w:rsidR="00FB0CE2" w:rsidRPr="00FB0CE2" w:rsidRDefault="00FB0CE2" w:rsidP="00FB0CE2">
      <w:pPr>
        <w:spacing w:after="200" w:line="276" w:lineRule="auto"/>
        <w:jc w:val="both"/>
        <w:rPr>
          <w:rFonts w:ascii="Calibri" w:eastAsia="Calibri" w:hAnsi="Calibri" w:cs="Calibri"/>
          <w:sz w:val="20"/>
          <w:szCs w:val="20"/>
        </w:rPr>
      </w:pPr>
    </w:p>
    <w:p w14:paraId="0D7CF678" w14:textId="77777777" w:rsidR="00FB0CE2" w:rsidRPr="00FB0CE2" w:rsidRDefault="00FB0CE2" w:rsidP="00FB0CE2">
      <w:pPr>
        <w:spacing w:after="200" w:line="276" w:lineRule="auto"/>
        <w:jc w:val="both"/>
        <w:rPr>
          <w:rFonts w:ascii="Calibri" w:eastAsia="Calibri" w:hAnsi="Calibri" w:cs="Calibri"/>
          <w:sz w:val="20"/>
          <w:szCs w:val="20"/>
        </w:rPr>
      </w:pPr>
      <w:r w:rsidRPr="00FB0CE2">
        <w:rPr>
          <w:rFonts w:ascii="Calibri" w:eastAsia="Calibri" w:hAnsi="Calibri" w:cs="Calibri"/>
          <w:noProof/>
          <w:sz w:val="20"/>
          <w:szCs w:val="20"/>
          <w:lang w:eastAsia="pl-PL"/>
        </w:rPr>
        <w:lastRenderedPageBreak/>
        <w:drawing>
          <wp:inline distT="0" distB="0" distL="0" distR="0" wp14:anchorId="3C35037F" wp14:editId="58D405F0">
            <wp:extent cx="5721350" cy="4281731"/>
            <wp:effectExtent l="0" t="0" r="0" b="5080"/>
            <wp:docPr id="8636808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609" cy="4284170"/>
                    </a:xfrm>
                    <a:prstGeom prst="rect">
                      <a:avLst/>
                    </a:prstGeom>
                    <a:noFill/>
                    <a:ln>
                      <a:noFill/>
                    </a:ln>
                  </pic:spPr>
                </pic:pic>
              </a:graphicData>
            </a:graphic>
          </wp:inline>
        </w:drawing>
      </w:r>
    </w:p>
    <w:p w14:paraId="0E081E28" w14:textId="77777777" w:rsidR="00FB0CE2" w:rsidRPr="00FB0CE2" w:rsidRDefault="00FB0CE2" w:rsidP="00FB0CE2">
      <w:pPr>
        <w:spacing w:after="200" w:line="276" w:lineRule="auto"/>
        <w:jc w:val="both"/>
        <w:rPr>
          <w:rFonts w:ascii="Calibri" w:eastAsia="Calibri" w:hAnsi="Calibri" w:cs="Calibri"/>
          <w:sz w:val="20"/>
          <w:szCs w:val="20"/>
        </w:rPr>
      </w:pPr>
      <w:r w:rsidRPr="00FB0CE2">
        <w:rPr>
          <w:rFonts w:ascii="Calibri" w:eastAsia="Calibri" w:hAnsi="Calibri" w:cs="Calibri"/>
          <w:sz w:val="20"/>
          <w:szCs w:val="20"/>
        </w:rPr>
        <w:t>Rysunek. 1. Pomieszczenie pompowni.</w:t>
      </w:r>
    </w:p>
    <w:p w14:paraId="68799FB9" w14:textId="77777777" w:rsidR="00FB0CE2" w:rsidRPr="00FB0CE2" w:rsidRDefault="00FB0CE2" w:rsidP="00FB0CE2">
      <w:pPr>
        <w:spacing w:after="200" w:line="276" w:lineRule="auto"/>
        <w:jc w:val="both"/>
        <w:rPr>
          <w:rFonts w:ascii="Calibri" w:eastAsia="Calibri" w:hAnsi="Calibri" w:cs="Calibri"/>
          <w:noProof/>
          <w:sz w:val="20"/>
          <w:szCs w:val="20"/>
        </w:rPr>
      </w:pPr>
      <w:r w:rsidRPr="00FB0CE2">
        <w:rPr>
          <w:rFonts w:ascii="Calibri" w:eastAsia="Calibri" w:hAnsi="Calibri" w:cs="Calibri"/>
          <w:noProof/>
          <w:sz w:val="20"/>
          <w:szCs w:val="20"/>
          <w:lang w:eastAsia="pl-PL"/>
        </w:rPr>
        <w:drawing>
          <wp:inline distT="0" distB="0" distL="0" distR="0" wp14:anchorId="58F4AA1E" wp14:editId="3D2F2A40">
            <wp:extent cx="5920740" cy="3619500"/>
            <wp:effectExtent l="0" t="0" r="3810" b="0"/>
            <wp:docPr id="207567870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942" cy="3623903"/>
                    </a:xfrm>
                    <a:prstGeom prst="rect">
                      <a:avLst/>
                    </a:prstGeom>
                    <a:noFill/>
                    <a:ln>
                      <a:noFill/>
                    </a:ln>
                  </pic:spPr>
                </pic:pic>
              </a:graphicData>
            </a:graphic>
          </wp:inline>
        </w:drawing>
      </w:r>
    </w:p>
    <w:p w14:paraId="1CF16915" w14:textId="77777777" w:rsidR="00FB0CE2" w:rsidRPr="00FB0CE2" w:rsidRDefault="00FB0CE2" w:rsidP="00FB0CE2">
      <w:pPr>
        <w:tabs>
          <w:tab w:val="left" w:pos="3005"/>
        </w:tabs>
        <w:spacing w:after="200" w:line="276" w:lineRule="auto"/>
        <w:jc w:val="both"/>
        <w:rPr>
          <w:rFonts w:ascii="Calibri" w:eastAsia="Calibri" w:hAnsi="Calibri" w:cs="Calibri"/>
          <w:sz w:val="20"/>
          <w:szCs w:val="20"/>
        </w:rPr>
      </w:pPr>
      <w:r w:rsidRPr="00FB0CE2">
        <w:rPr>
          <w:rFonts w:ascii="Calibri" w:eastAsia="Calibri" w:hAnsi="Calibri" w:cs="Calibri"/>
          <w:sz w:val="20"/>
          <w:szCs w:val="20"/>
        </w:rPr>
        <w:t>Rysunek. 2. Schemat istniejącego układu pomiarowego zainstalowanego za planowanym urządzeniem podczyszczania ścieków.</w:t>
      </w:r>
    </w:p>
    <w:p w14:paraId="7458FB2E" w14:textId="77777777" w:rsidR="00FB0CE2" w:rsidRPr="00FB0CE2" w:rsidRDefault="00FB0CE2" w:rsidP="00FB0CE2">
      <w:pPr>
        <w:tabs>
          <w:tab w:val="left" w:pos="3005"/>
        </w:tabs>
        <w:spacing w:after="200" w:line="276" w:lineRule="auto"/>
        <w:jc w:val="both"/>
        <w:rPr>
          <w:rFonts w:ascii="Calibri" w:eastAsia="Calibri" w:hAnsi="Calibri" w:cs="Calibri"/>
          <w:sz w:val="20"/>
          <w:szCs w:val="20"/>
        </w:rPr>
      </w:pPr>
    </w:p>
    <w:p w14:paraId="14A90887" w14:textId="77777777" w:rsidR="00FB0CE2" w:rsidRPr="00FB0CE2" w:rsidRDefault="00FB0CE2" w:rsidP="00FB0CE2">
      <w:pPr>
        <w:tabs>
          <w:tab w:val="left" w:pos="3005"/>
        </w:tabs>
        <w:spacing w:after="200" w:line="276" w:lineRule="auto"/>
        <w:jc w:val="both"/>
        <w:rPr>
          <w:rFonts w:ascii="Calibri" w:eastAsia="Calibri" w:hAnsi="Calibri" w:cs="Calibri"/>
          <w:sz w:val="20"/>
          <w:szCs w:val="20"/>
        </w:rPr>
      </w:pPr>
    </w:p>
    <w:p w14:paraId="33B8DD6A" w14:textId="77777777" w:rsidR="00FB0CE2" w:rsidRPr="00FB0CE2" w:rsidRDefault="00FB0CE2" w:rsidP="00FB0CE2">
      <w:pPr>
        <w:numPr>
          <w:ilvl w:val="0"/>
          <w:numId w:val="59"/>
        </w:numPr>
        <w:tabs>
          <w:tab w:val="left" w:pos="3005"/>
        </w:tabs>
        <w:spacing w:after="200" w:line="276" w:lineRule="auto"/>
        <w:ind w:left="284" w:hanging="284"/>
        <w:contextualSpacing/>
        <w:jc w:val="both"/>
        <w:rPr>
          <w:rFonts w:ascii="Calibri" w:eastAsia="Calibri" w:hAnsi="Calibri" w:cs="Calibri"/>
          <w:sz w:val="20"/>
          <w:szCs w:val="20"/>
        </w:rPr>
      </w:pPr>
      <w:r w:rsidRPr="00FB0CE2">
        <w:rPr>
          <w:rFonts w:ascii="Calibri" w:eastAsia="Calibri" w:hAnsi="Calibri" w:cs="Calibri"/>
          <w:b/>
          <w:bCs/>
          <w:sz w:val="20"/>
          <w:szCs w:val="20"/>
        </w:rPr>
        <w:t xml:space="preserve">Szczegółowe wymagania Zamawiającego oraz charakterystyka ścieków surowych: </w:t>
      </w:r>
    </w:p>
    <w:p w14:paraId="5612F217" w14:textId="77777777" w:rsidR="00FB0CE2" w:rsidRPr="00FB0CE2" w:rsidRDefault="00FB0CE2" w:rsidP="00FB0CE2">
      <w:pPr>
        <w:autoSpaceDE w:val="0"/>
        <w:autoSpaceDN w:val="0"/>
        <w:adjustRightInd w:val="0"/>
        <w:spacing w:after="0" w:line="240"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Dostarczane urządzenia należy dostosować do nierównomiernego i okresowego napływu ścieków. Przepływ ścieków przez urządzenia należy zaprojektować w sposób nadążny. Maksymalna dopuszczalna zawartość ołowiu w ściekach podczyszczonych </w:t>
      </w:r>
      <w:r w:rsidRPr="00FB0CE2">
        <w:rPr>
          <w:rFonts w:ascii="Calibri" w:eastAsia="Calibri" w:hAnsi="Calibri" w:cs="Calibri"/>
          <w:color w:val="000000"/>
          <w:sz w:val="20"/>
          <w:szCs w:val="20"/>
        </w:rPr>
        <w:br/>
        <w:t>w urządzeniach dostarczanych przez Wykonawcę nie może przekraczać 0,02 mg / l. Poszczególne części urządzeń, rurociągi, pompy i armaturę, mające kontakt ze ściekiem surowym i ściekiem podczyszczonym oraz osadem ściekowym, należy wykonać materiałami odpornymi na korozyjne właściwości ścieków i osadów ściekowych. Substancje wykorzystywane w procesie podczyszczania ścieków należy umieścić w zbiornikach na wannach wychwytowych lub w zbiornikach dwupłaszczowych. Minimalna pojemność zbiorników substancji wykorzystywanych w procesie, powinna zapewniać minimum jeden miesiąc pracy bez konieczności ponownego napełniania zbiorników. Praca urządzeń powinna odbywać się w sposób zautomatyzowany, bez konieczności zapewnienia stałego nadzoru. Elementy konstrukcyjne, drabinki, schody i poręcze oraz szafę sterującą i koryta kablowe należy wykonać ze stali nierdzewnej. Szafę sterowniczą należy wykonać powyżej poziomu posadzki, w układzie stojącym lub wiszącym. Minimalna temperatura w pomieszczeniu wynosi 0</w:t>
      </w:r>
      <w:r w:rsidRPr="00FB0CE2">
        <w:rPr>
          <w:rFonts w:ascii="Calibri" w:eastAsia="Calibri" w:hAnsi="Calibri" w:cs="Calibri"/>
          <w:color w:val="000000"/>
          <w:sz w:val="20"/>
          <w:szCs w:val="20"/>
          <w:vertAlign w:val="superscript"/>
        </w:rPr>
        <w:t>o</w:t>
      </w:r>
      <w:r w:rsidRPr="00FB0CE2">
        <w:rPr>
          <w:rFonts w:ascii="Calibri" w:eastAsia="Calibri" w:hAnsi="Calibri" w:cs="Calibri"/>
          <w:color w:val="000000"/>
          <w:sz w:val="20"/>
          <w:szCs w:val="20"/>
        </w:rPr>
        <w:t xml:space="preserve"> Celsjusza. Wszystkie urządzenia, aparaturę kontrolno-pomiarową oraz szafę sterowniczą należy przystosować do pracy w minimalnej temperaturze wynoszącej 0</w:t>
      </w:r>
      <w:r w:rsidRPr="00FB0CE2">
        <w:rPr>
          <w:rFonts w:ascii="Calibri" w:eastAsia="Calibri" w:hAnsi="Calibri" w:cs="Calibri"/>
          <w:color w:val="000000"/>
          <w:sz w:val="20"/>
          <w:szCs w:val="20"/>
          <w:vertAlign w:val="superscript"/>
        </w:rPr>
        <w:t>o</w:t>
      </w:r>
      <w:r w:rsidRPr="00FB0CE2">
        <w:rPr>
          <w:rFonts w:ascii="Calibri" w:eastAsia="Calibri" w:hAnsi="Calibri" w:cs="Calibri"/>
          <w:color w:val="000000"/>
          <w:sz w:val="20"/>
          <w:szCs w:val="20"/>
        </w:rPr>
        <w:t xml:space="preserve"> Celsjusza. Do wszystkich urządzeń, pomp, aparatury kontrolno- pomiarowej i rurociągów należy zapewnić dostęp remontowy oraz obsługowy. Urządzenia, pompy i rurociągi należy opisać zgodnie z ich przeznaczeniem. Na rurociągach należy wskazać kierunek przepływu i rodzaj transportowanego medium. Użyte materiały i urządzenia, w celu zabezpieczenia przed korozją, należy dobrać do maksymalnych wartości parametrów fizykochemicznych jakie zostały określone w tabeli 1. Przed wejściem do pomieszczenia pompowni należy umieścić sygnalizator wizualny informujący o wystąpieniu awarii urządzeń. Istniejącą pompownię ścieków surowych należy wyposażyć co najmniej w:</w:t>
      </w:r>
    </w:p>
    <w:p w14:paraId="2FDE3A3E" w14:textId="77777777" w:rsidR="00FB0CE2" w:rsidRPr="00FB0CE2" w:rsidRDefault="00FB0CE2" w:rsidP="00FB0CE2">
      <w:pPr>
        <w:numPr>
          <w:ilvl w:val="0"/>
          <w:numId w:val="61"/>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pompę suchą tłoczącą ścieki surowe do urządzeń podczyszczających wraz z falownikiem, </w:t>
      </w:r>
    </w:p>
    <w:p w14:paraId="7B6D26D9" w14:textId="77777777" w:rsidR="00FB0CE2" w:rsidRPr="00FB0CE2" w:rsidRDefault="00FB0CE2" w:rsidP="00FB0CE2">
      <w:pPr>
        <w:numPr>
          <w:ilvl w:val="0"/>
          <w:numId w:val="61"/>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hydrostatyczny czujnik poziomu ścieków sterujący przepływem ścieków oraz czujnik zabezpieczający przed </w:t>
      </w:r>
      <w:proofErr w:type="spellStart"/>
      <w:r w:rsidRPr="00FB0CE2">
        <w:rPr>
          <w:rFonts w:ascii="Calibri" w:eastAsia="Calibri" w:hAnsi="Calibri" w:cs="Calibri"/>
          <w:color w:val="000000"/>
          <w:sz w:val="20"/>
          <w:szCs w:val="20"/>
        </w:rPr>
        <w:t>suchobiegiem</w:t>
      </w:r>
      <w:proofErr w:type="spellEnd"/>
      <w:r w:rsidRPr="00FB0CE2">
        <w:rPr>
          <w:rFonts w:ascii="Calibri" w:eastAsia="Calibri" w:hAnsi="Calibri" w:cs="Calibri"/>
          <w:color w:val="000000"/>
          <w:sz w:val="20"/>
          <w:szCs w:val="20"/>
        </w:rPr>
        <w:t xml:space="preserve"> i przelaniem ścieków w pompowni, </w:t>
      </w:r>
    </w:p>
    <w:p w14:paraId="25785A3B" w14:textId="77777777" w:rsidR="00FB0CE2" w:rsidRPr="00FB0CE2" w:rsidRDefault="00FB0CE2" w:rsidP="00FB0CE2">
      <w:pPr>
        <w:numPr>
          <w:ilvl w:val="0"/>
          <w:numId w:val="61"/>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zawór zwrotny, </w:t>
      </w:r>
    </w:p>
    <w:p w14:paraId="152A459B" w14:textId="77777777" w:rsidR="00FB0CE2" w:rsidRPr="00FB0CE2" w:rsidRDefault="00FB0CE2" w:rsidP="00FB0CE2">
      <w:pPr>
        <w:numPr>
          <w:ilvl w:val="0"/>
          <w:numId w:val="61"/>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mieszadło zatapialne z prowadnicą i wciągarką lub mieszadło z silnikiem w wykonaniu suchym, </w:t>
      </w:r>
    </w:p>
    <w:p w14:paraId="11BCF951" w14:textId="77777777" w:rsidR="00FB0CE2" w:rsidRPr="00FB0CE2" w:rsidRDefault="00FB0CE2" w:rsidP="00FB0CE2">
      <w:pPr>
        <w:numPr>
          <w:ilvl w:val="0"/>
          <w:numId w:val="61"/>
        </w:num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kratownicę zabezpieczającą przed upadkiem. </w:t>
      </w:r>
    </w:p>
    <w:p w14:paraId="19B56023"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5E35CBAC" w14:textId="2D9C4E2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Zamawiający nie przewiduje możliwości wprowadzania zmian w pojemności pompowni ścieków surowych. Osady ściekowe zawierające ołów, wytwarzane w urządzeniu należy usuwać z urządzenia podczyszczania ścieków w sposób automatyczny oraz na bieżąco i należy je odwodnić. Dopuszczalna przez Zamawiającego zawartość wilgoci w osadzie ściekowym powinna mieścić się w przedziale 0 – 50 %. Wykonawca jest obowiązany do dostarczenia dodatkowego urządzenia odwadniającego osady ściekowe, jeżeli zaprojektowana przez Wykonawcę technologia podczyszczania ścieków przemysłowych nie gwarantuje uzyskania wymaganego przez Zamawiającego przedziału zawartości wilgoci w osadzie ściekowym. Czas pracy urządzenia do odwadniania osadów ściekowych: poniedziałek - piątek w godzinach 08:00 – 14:00. Należy przewidzieć odpowiedni zbiornik służący do magazynowania uwodnionych osadów ściekowych. Odcieki należy skierować do pompowni ścieków surowych. Wykonawca winien dostarczyć układ do magazynowania odwodnionego osadu ściekowego. Odwodniony osad ściekowy należy odprowadzać do pojemnika typu Big-</w:t>
      </w:r>
      <w:proofErr w:type="spellStart"/>
      <w:r w:rsidRPr="00FB0CE2">
        <w:rPr>
          <w:rFonts w:ascii="Calibri" w:eastAsia="Calibri" w:hAnsi="Calibri" w:cs="Calibri"/>
          <w:color w:val="000000"/>
          <w:sz w:val="20"/>
          <w:szCs w:val="20"/>
        </w:rPr>
        <w:t>Bag</w:t>
      </w:r>
      <w:proofErr w:type="spellEnd"/>
      <w:r w:rsidRPr="00FB0CE2">
        <w:rPr>
          <w:rFonts w:ascii="Calibri" w:eastAsia="Calibri" w:hAnsi="Calibri" w:cs="Calibri"/>
          <w:color w:val="000000"/>
          <w:sz w:val="20"/>
          <w:szCs w:val="20"/>
        </w:rPr>
        <w:t xml:space="preserve"> o pojemności około 1m</w:t>
      </w:r>
      <w:r w:rsidRPr="00FB0CE2">
        <w:rPr>
          <w:rFonts w:ascii="Calibri" w:eastAsia="Calibri" w:hAnsi="Calibri" w:cs="Calibri"/>
          <w:color w:val="000000"/>
          <w:sz w:val="20"/>
          <w:szCs w:val="20"/>
          <w:vertAlign w:val="superscript"/>
        </w:rPr>
        <w:t>3</w:t>
      </w:r>
      <w:r w:rsidRPr="00FB0CE2">
        <w:rPr>
          <w:rFonts w:ascii="Calibri" w:eastAsia="Calibri" w:hAnsi="Calibri" w:cs="Calibri"/>
          <w:color w:val="000000"/>
          <w:sz w:val="20"/>
          <w:szCs w:val="20"/>
        </w:rPr>
        <w:t xml:space="preserve">.  Należy również zapewnić odpowiednie ciągi komunikacyjne służące do wywożenia pojemnika z pomieszczenia podczyszczalni. Podczyszczone ścieki przemysłowe należy skierować do zbiornika buforowego o minimalnej pojemności roboczej 1.000,0 litrów. Zbiornik buforowy należy wyposażyć w czujnik poziomu ścieków, sterujący pracą pomp ścieku podczyszczonego oraz zabezpieczający zbiornik buforowy przed </w:t>
      </w:r>
      <w:proofErr w:type="spellStart"/>
      <w:r w:rsidRPr="00FB0CE2">
        <w:rPr>
          <w:rFonts w:ascii="Calibri" w:eastAsia="Calibri" w:hAnsi="Calibri" w:cs="Calibri"/>
          <w:color w:val="000000"/>
          <w:sz w:val="20"/>
          <w:szCs w:val="20"/>
        </w:rPr>
        <w:t>suchobiegiem</w:t>
      </w:r>
      <w:proofErr w:type="spellEnd"/>
      <w:r w:rsidRPr="00FB0CE2">
        <w:rPr>
          <w:rFonts w:ascii="Calibri" w:eastAsia="Calibri" w:hAnsi="Calibri" w:cs="Calibri"/>
          <w:color w:val="000000"/>
          <w:sz w:val="20"/>
          <w:szCs w:val="20"/>
        </w:rPr>
        <w:t xml:space="preserve"> i przelaniem się ścieków ze zbiornika. Zbiornik buforowy należy ponadto wyposażyć w zawór odwodnieniowy i dwie pompy w wykonaniu suchym, tłoczące ściek podczyszczony do rurociągu transportującego ściek podczyszczony. Armaturę pomp ścieku podczyszczonego należy wyposażyć w zawory zwrotne oraz zawory zamykające. Pompy powinny pracować w systemie łącznym lub naprzemiennym </w:t>
      </w:r>
      <w:r w:rsidRPr="00FB0CE2">
        <w:rPr>
          <w:rFonts w:ascii="Calibri" w:eastAsia="Calibri" w:hAnsi="Calibri" w:cs="Calibri"/>
          <w:color w:val="000000"/>
          <w:sz w:val="20"/>
          <w:szCs w:val="20"/>
        </w:rPr>
        <w:br/>
        <w:t xml:space="preserve">i gwarantować tłoczenie ścieków podczyszczonych do zakładowej podczyszczalni bądź ich wykorzystanie na cele technologiczne (do zraszania żużli). Układ sterujący urządzeniami powinien umożliwiać pracę w trybie nadążnym </w:t>
      </w:r>
      <w:r w:rsidRPr="00FB0CE2">
        <w:rPr>
          <w:rFonts w:ascii="Calibri" w:eastAsia="Calibri" w:hAnsi="Calibri" w:cs="Calibri"/>
          <w:color w:val="000000"/>
          <w:sz w:val="20"/>
          <w:szCs w:val="20"/>
        </w:rPr>
        <w:lastRenderedPageBreak/>
        <w:t xml:space="preserve">oraz pracę w trybie zrzutu partiami (od poziomu maksymalnego do poziomu minimalnego ścieków surowych w pompowni ścieków surowych). Wszystkie urządzenia objęte zakresem zamówienia oraz aparaturę </w:t>
      </w:r>
      <w:proofErr w:type="spellStart"/>
      <w:r w:rsidRPr="00FB0CE2">
        <w:rPr>
          <w:rFonts w:ascii="Calibri" w:eastAsia="Calibri" w:hAnsi="Calibri" w:cs="Calibri"/>
          <w:color w:val="000000"/>
          <w:sz w:val="20"/>
          <w:szCs w:val="20"/>
        </w:rPr>
        <w:t>kontrolno</w:t>
      </w:r>
      <w:proofErr w:type="spellEnd"/>
      <w:r w:rsidRPr="00FB0CE2">
        <w:rPr>
          <w:rFonts w:ascii="Calibri" w:eastAsia="Calibri" w:hAnsi="Calibri" w:cs="Calibri"/>
          <w:color w:val="000000"/>
          <w:sz w:val="20"/>
          <w:szCs w:val="20"/>
        </w:rPr>
        <w:t xml:space="preserve"> – pomiarową i szafę sterującą urządzeniami należy umieścić w istniejącym pomieszczeniu pompowni o wymiarach 6,25 x 6,45 x 3,70 m. Zamawiający nie dopuszcza prac wyburzeniowych. Nie dopuszcza się zastosowania technologii, w której do osiągniecia minimalnych parametrów wymaganych przez Zamawiającego stosuje się wodę w celu rozcieńczenia ścieków.</w:t>
      </w:r>
    </w:p>
    <w:p w14:paraId="50D35EB9"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57E5C5DC"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Wykonawca realizując prace na terenie ZTPO, w tym prace demontażowe, zgodnie z art. 3 ust. 1. pkt. 32 Ustawy z dnia 14 grudnia 2012 r. o odpadach (t. j. Dz.U. 2023 poz. 1587) staje się wytwórcą odpadów powstających w wyniku świadczonych usług </w:t>
      </w:r>
      <w:r w:rsidRPr="00FB0CE2">
        <w:rPr>
          <w:rFonts w:ascii="Calibri" w:eastAsia="Calibri" w:hAnsi="Calibri" w:cs="Calibri"/>
          <w:color w:val="000000"/>
          <w:sz w:val="20"/>
          <w:szCs w:val="20"/>
        </w:rPr>
        <w:br/>
        <w:t xml:space="preserve">i jednocześnie zostaje zobowiązany do zagospodarowania odpadów wytworzonych w wyniku świadczonych usług w własnym zakresie. Wymóg ten nie dotyczy zdemontowanego złomu i urządzeń. Zdemontowany złom i urządzenia Wykonawca obowiązany jest zwrócić Zamawiającemu po ich demontażu. </w:t>
      </w:r>
    </w:p>
    <w:p w14:paraId="24E45CEB"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67CD6E99" w14:textId="77777777" w:rsidR="00FB0CE2" w:rsidRPr="00FB0CE2" w:rsidRDefault="00FB0CE2" w:rsidP="00FB0CE2">
      <w:pPr>
        <w:tabs>
          <w:tab w:val="left" w:pos="3005"/>
        </w:tabs>
        <w:spacing w:after="200" w:line="276" w:lineRule="auto"/>
        <w:jc w:val="both"/>
        <w:rPr>
          <w:rFonts w:ascii="Calibri" w:eastAsia="Calibri" w:hAnsi="Calibri" w:cs="Calibri"/>
          <w:sz w:val="20"/>
          <w:szCs w:val="20"/>
        </w:rPr>
      </w:pPr>
      <w:r w:rsidRPr="00FB0CE2">
        <w:rPr>
          <w:rFonts w:ascii="Calibri" w:eastAsia="Calibri" w:hAnsi="Calibri" w:cs="Calibri"/>
          <w:sz w:val="20"/>
          <w:szCs w:val="20"/>
        </w:rPr>
        <w:t xml:space="preserve">Wykonawca obowiązany jest do przedstawienia Zamawiającemu wykazu części zamiennych i części szybkozużywających się. Wykaz wyżej wymienionych części winien pochodzić z dokumentacji </w:t>
      </w:r>
      <w:proofErr w:type="spellStart"/>
      <w:r w:rsidRPr="00FB0CE2">
        <w:rPr>
          <w:rFonts w:ascii="Calibri" w:eastAsia="Calibri" w:hAnsi="Calibri" w:cs="Calibri"/>
          <w:sz w:val="20"/>
          <w:szCs w:val="20"/>
        </w:rPr>
        <w:t>techniczno</w:t>
      </w:r>
      <w:proofErr w:type="spellEnd"/>
      <w:r w:rsidRPr="00FB0CE2">
        <w:rPr>
          <w:rFonts w:ascii="Calibri" w:eastAsia="Calibri" w:hAnsi="Calibri" w:cs="Calibri"/>
          <w:sz w:val="20"/>
          <w:szCs w:val="20"/>
        </w:rPr>
        <w:t xml:space="preserve"> – ruchowej urządzeń. W ramach zamówienia Wykonawca dostarczy Zamawiającemu jednorazowo komplet części zamiennych i części szybkozużywających się. Do obowiązków Wykonawcy należy ponadto dostarczenie Zamawiającemu planu przeglądu i planu remontów urządzeń. Wykonawca na potrzeby rozruchu, szkolenia i oceny spełnienia wymaganych przez Zamawiającego parametrów, obowiązany jest do dostarczenia </w:t>
      </w:r>
      <w:r w:rsidRPr="00FB0CE2">
        <w:rPr>
          <w:rFonts w:ascii="Calibri" w:eastAsia="Calibri" w:hAnsi="Calibri" w:cs="Calibri"/>
          <w:sz w:val="20"/>
          <w:szCs w:val="20"/>
        </w:rPr>
        <w:br/>
        <w:t>i zapewnienia odpowiedniej ilości i rodzajów substancji wykorzystywanych w procesie podczyszczania i odwadniania ścieków. Pobór próbek ścieków w celu przeprowadzenia oceny spełnienia wymaganych przez Zamawiającego parametrów będzie trwać nie dłużej niż 3 tygodnie i będzie obejmować maksymalnie 3 próbki ścieku podczyszczonego i 3 próbki odwodnionego osadu ściekowego. Potwierdzeniem spełniania minimalnych parametrów wymaganych przez Zamawiającego jest uzyskanie wartości we wszystkich trzech analizowanych próbkach na poziomie potwierdzającym spełnienie minimalnych parametrów wymaganych przez Zamawiającego (pkt 6 OPZ). Zamawiający dopuszcza jednokrotne ponowne przeprowadzenie poboru i analiz trzech próbek w przypadku, gdy w wyniku analiz którakolwiek z próbek przekroczy wartości określone w punkcie 6 OPZ. Pobór i analiza próbek zostanie wykonany przez akredytowane laboratorium o którym mowa w art. 147a. ust 1. Ustawy z dnia 27 kwietnia 2001 r. Prawo ochrony środowiska (t. j. Dz.U. 2024 poz. 54). Wybór laboratorium akredytowanego oraz koszty przeprowadzenia analiz są po stronie Zamawiającego. Zastosowane przez Wykonawcę urządzenia i armatura powinny być powtarzalne z zachowaniem unifikacji producenta i ogólnodostępne na polskim rynku. W czasie realizacji prac związanych z demontażem starych i montażem nowych urządzeń, Wykonawca jest obowiązany do przekierowania ścieków z pompowni ścieków surowych do istniejącego rurociągu ścieków podczyszczonych. Należy zastosować sterownik PLC, dotykowy panel sterujący</w:t>
      </w:r>
      <w:r w:rsidRPr="00FB0CE2">
        <w:rPr>
          <w:rFonts w:ascii="Calibri" w:eastAsia="Calibri" w:hAnsi="Calibri" w:cs="Times New Roman"/>
        </w:rPr>
        <w:t xml:space="preserve"> </w:t>
      </w:r>
      <w:r w:rsidRPr="00FB0CE2">
        <w:rPr>
          <w:rFonts w:ascii="Calibri" w:eastAsia="Calibri" w:hAnsi="Calibri" w:cs="Calibri"/>
          <w:sz w:val="20"/>
          <w:szCs w:val="20"/>
        </w:rPr>
        <w:t xml:space="preserve">z matrycą minimum 7 cali oraz urządzenia aparatury kontrolno-pomiarowej i automatyki marek powszechnie stosowanych w przemyśle zapewniając autoryzowany serwis oraz dostępność części zamiennych w Polsce. Na panelu należy zaprezentować graficznie kompletny przebieg procesu podczyszczania ścieków i odwadniania osadów ściekowych wraz z tłoczeniem i magazynowaniem ścieków i osadów ściekowych. Sterowanie urządzeniami powinno być realizowane bezpośrednio z poziomu panelu operatorskiego w trybie ręcznym i automatycznym. System sterowania musi zostać wyposażony w moduł komunikacyjny MODBUS TCP oraz oprogramowany na potrzeby późniejszej realizacji komunikacji z nadrzędnym systemem DCS Zamawiającego. W rejestrach </w:t>
      </w:r>
      <w:proofErr w:type="spellStart"/>
      <w:r w:rsidRPr="00FB0CE2">
        <w:rPr>
          <w:rFonts w:ascii="Calibri" w:eastAsia="Calibri" w:hAnsi="Calibri" w:cs="Calibri"/>
          <w:sz w:val="20"/>
          <w:szCs w:val="20"/>
        </w:rPr>
        <w:t>modbusowych</w:t>
      </w:r>
      <w:proofErr w:type="spellEnd"/>
      <w:r w:rsidRPr="00FB0CE2">
        <w:rPr>
          <w:rFonts w:ascii="Calibri" w:eastAsia="Calibri" w:hAnsi="Calibri" w:cs="Calibri"/>
          <w:sz w:val="20"/>
          <w:szCs w:val="20"/>
        </w:rPr>
        <w:t xml:space="preserve"> należy umieścić wszystkie stany pracy oraz stany alarmowe instalacji. Adresacja oraz parametry komunikacji zostaną ustalone na etapie realizacji projektu i muszą zostać zatwierdzone przez Zamawiającego. Wykonawca jest obowiązany do wykonania zasilania zamontowanych urządzeń. Źródło zasilania stanowi rozdzielnia elektryczna znajdująca się w budynku, w którym przeprowadzony będzie montaż urządzeń. Odległość trasy kablowej od rozdzielni do pomieszczenia pompowni wynosi około 120mb. Przewód zasilający należy poprowadzić po istniejących korytach kablowych. Dobór i dostawa przewodów, dobór i dostawa układu zabezpieczeń oraz urządzeń aparatury kontrolno-pomiarowej i automatyki leży po stronie Wykonawcy. Wykonawca nie będzie zobowiązany do wprowadzenia zmian w systemie DCS Zamawiającego oraz budowy infrastruktury sieci Ethernet na potrzeby powyższej komunikacji MODBUS TCP.</w:t>
      </w:r>
    </w:p>
    <w:p w14:paraId="4F18CB82" w14:textId="77777777" w:rsidR="00FB0CE2" w:rsidRPr="00FB0CE2" w:rsidRDefault="00FB0CE2" w:rsidP="00FB0CE2">
      <w:pPr>
        <w:tabs>
          <w:tab w:val="left" w:pos="3005"/>
        </w:tabs>
        <w:spacing w:after="200" w:line="276" w:lineRule="auto"/>
        <w:jc w:val="both"/>
        <w:rPr>
          <w:rFonts w:ascii="Calibri" w:eastAsia="Calibri" w:hAnsi="Calibri" w:cs="Calibri"/>
          <w:sz w:val="20"/>
          <w:szCs w:val="20"/>
        </w:rPr>
      </w:pPr>
      <w:r w:rsidRPr="00FB0CE2">
        <w:rPr>
          <w:rFonts w:ascii="Calibri" w:eastAsia="Calibri" w:hAnsi="Calibri" w:cs="Calibri"/>
          <w:sz w:val="20"/>
          <w:szCs w:val="20"/>
        </w:rPr>
        <w:lastRenderedPageBreak/>
        <w:t>Tabela. 1. Charakterystyka ścieków surowych.</w:t>
      </w: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1379"/>
        <w:gridCol w:w="1379"/>
        <w:gridCol w:w="1379"/>
        <w:gridCol w:w="1379"/>
        <w:gridCol w:w="1379"/>
        <w:gridCol w:w="2310"/>
      </w:tblGrid>
      <w:tr w:rsidR="00FB0CE2" w:rsidRPr="00FB0CE2" w14:paraId="1AEF08D0" w14:textId="77777777" w:rsidTr="00FB0CE2">
        <w:trPr>
          <w:trHeight w:val="229"/>
        </w:trPr>
        <w:tc>
          <w:tcPr>
            <w:tcW w:w="749" w:type="pct"/>
            <w:vAlign w:val="center"/>
          </w:tcPr>
          <w:p w14:paraId="05441199"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Parametr</w:t>
            </w:r>
          </w:p>
        </w:tc>
        <w:tc>
          <w:tcPr>
            <w:tcW w:w="749" w:type="pct"/>
            <w:vAlign w:val="center"/>
          </w:tcPr>
          <w:p w14:paraId="1F63C61E"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Jednostka</w:t>
            </w:r>
          </w:p>
        </w:tc>
        <w:tc>
          <w:tcPr>
            <w:tcW w:w="749" w:type="pct"/>
            <w:vAlign w:val="center"/>
          </w:tcPr>
          <w:p w14:paraId="51B434D4"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Wartość minimalna</w:t>
            </w:r>
          </w:p>
        </w:tc>
        <w:tc>
          <w:tcPr>
            <w:tcW w:w="749" w:type="pct"/>
            <w:vAlign w:val="center"/>
          </w:tcPr>
          <w:p w14:paraId="095B913F"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Wartość maksymalna</w:t>
            </w:r>
          </w:p>
        </w:tc>
        <w:tc>
          <w:tcPr>
            <w:tcW w:w="749" w:type="pct"/>
            <w:vAlign w:val="center"/>
          </w:tcPr>
          <w:p w14:paraId="18DFC467"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Średnia</w:t>
            </w:r>
          </w:p>
        </w:tc>
        <w:tc>
          <w:tcPr>
            <w:tcW w:w="1255" w:type="pct"/>
            <w:vAlign w:val="center"/>
          </w:tcPr>
          <w:p w14:paraId="5B7E64D4"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Mediana</w:t>
            </w:r>
          </w:p>
        </w:tc>
      </w:tr>
      <w:tr w:rsidR="00FB0CE2" w:rsidRPr="00FB0CE2" w14:paraId="35EC98D7" w14:textId="77777777" w:rsidTr="00FB0CE2">
        <w:trPr>
          <w:trHeight w:val="103"/>
        </w:trPr>
        <w:tc>
          <w:tcPr>
            <w:tcW w:w="749" w:type="pct"/>
            <w:vAlign w:val="center"/>
          </w:tcPr>
          <w:p w14:paraId="5F31C756" w14:textId="77777777" w:rsidR="00FB0CE2" w:rsidRPr="00FB0CE2" w:rsidRDefault="00FB0CE2" w:rsidP="00FB0CE2">
            <w:pPr>
              <w:autoSpaceDE w:val="0"/>
              <w:autoSpaceDN w:val="0"/>
              <w:adjustRightInd w:val="0"/>
              <w:spacing w:after="0" w:line="240" w:lineRule="auto"/>
              <w:jc w:val="right"/>
              <w:rPr>
                <w:rFonts w:ascii="Calibri" w:eastAsia="Calibri" w:hAnsi="Calibri" w:cs="Calibri"/>
                <w:color w:val="000000"/>
                <w:sz w:val="20"/>
                <w:szCs w:val="20"/>
              </w:rPr>
            </w:pPr>
            <w:r w:rsidRPr="00FB0CE2">
              <w:rPr>
                <w:rFonts w:ascii="Calibri" w:eastAsia="Calibri" w:hAnsi="Calibri" w:cs="Calibri"/>
                <w:color w:val="000000"/>
                <w:sz w:val="20"/>
                <w:szCs w:val="20"/>
              </w:rPr>
              <w:t xml:space="preserve">Chlorki </w:t>
            </w:r>
          </w:p>
        </w:tc>
        <w:tc>
          <w:tcPr>
            <w:tcW w:w="749" w:type="pct"/>
            <w:vAlign w:val="center"/>
          </w:tcPr>
          <w:p w14:paraId="13B91BCA"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mg / l</w:t>
            </w:r>
          </w:p>
        </w:tc>
        <w:tc>
          <w:tcPr>
            <w:tcW w:w="749" w:type="pct"/>
            <w:vAlign w:val="center"/>
          </w:tcPr>
          <w:p w14:paraId="3F6BDD4A"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2.430,00</w:t>
            </w:r>
          </w:p>
        </w:tc>
        <w:tc>
          <w:tcPr>
            <w:tcW w:w="749" w:type="pct"/>
            <w:vAlign w:val="center"/>
          </w:tcPr>
          <w:p w14:paraId="28152F9C"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12.400,00</w:t>
            </w:r>
          </w:p>
        </w:tc>
        <w:tc>
          <w:tcPr>
            <w:tcW w:w="749" w:type="pct"/>
            <w:vAlign w:val="center"/>
          </w:tcPr>
          <w:p w14:paraId="4FD03156"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6.302,86</w:t>
            </w:r>
          </w:p>
        </w:tc>
        <w:tc>
          <w:tcPr>
            <w:tcW w:w="1255" w:type="pct"/>
            <w:vAlign w:val="center"/>
          </w:tcPr>
          <w:p w14:paraId="01019CE4"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4.820,00</w:t>
            </w:r>
          </w:p>
        </w:tc>
      </w:tr>
      <w:tr w:rsidR="00FB0CE2" w:rsidRPr="00FB0CE2" w14:paraId="1104AB14" w14:textId="77777777" w:rsidTr="00FB0CE2">
        <w:trPr>
          <w:trHeight w:val="103"/>
        </w:trPr>
        <w:tc>
          <w:tcPr>
            <w:tcW w:w="749" w:type="pct"/>
            <w:vAlign w:val="center"/>
          </w:tcPr>
          <w:p w14:paraId="50B04AEB" w14:textId="77777777" w:rsidR="00FB0CE2" w:rsidRPr="00FB0CE2" w:rsidRDefault="00FB0CE2" w:rsidP="00FB0CE2">
            <w:pPr>
              <w:autoSpaceDE w:val="0"/>
              <w:autoSpaceDN w:val="0"/>
              <w:adjustRightInd w:val="0"/>
              <w:spacing w:after="0" w:line="240" w:lineRule="auto"/>
              <w:jc w:val="right"/>
              <w:rPr>
                <w:rFonts w:ascii="Calibri" w:eastAsia="Calibri" w:hAnsi="Calibri" w:cs="Calibri"/>
                <w:color w:val="000000"/>
                <w:sz w:val="20"/>
                <w:szCs w:val="20"/>
              </w:rPr>
            </w:pPr>
            <w:r w:rsidRPr="00FB0CE2">
              <w:rPr>
                <w:rFonts w:ascii="Calibri" w:eastAsia="Calibri" w:hAnsi="Calibri" w:cs="Calibri"/>
                <w:color w:val="000000"/>
                <w:sz w:val="20"/>
                <w:szCs w:val="20"/>
              </w:rPr>
              <w:t xml:space="preserve">Siarczany </w:t>
            </w:r>
          </w:p>
        </w:tc>
        <w:tc>
          <w:tcPr>
            <w:tcW w:w="749" w:type="pct"/>
            <w:vAlign w:val="center"/>
          </w:tcPr>
          <w:p w14:paraId="1637045F"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mg / l</w:t>
            </w:r>
          </w:p>
        </w:tc>
        <w:tc>
          <w:tcPr>
            <w:tcW w:w="749" w:type="pct"/>
            <w:vAlign w:val="center"/>
          </w:tcPr>
          <w:p w14:paraId="57AF72AC"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463,00</w:t>
            </w:r>
          </w:p>
        </w:tc>
        <w:tc>
          <w:tcPr>
            <w:tcW w:w="749" w:type="pct"/>
            <w:vAlign w:val="center"/>
          </w:tcPr>
          <w:p w14:paraId="00CF193D"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2.410,00</w:t>
            </w:r>
          </w:p>
        </w:tc>
        <w:tc>
          <w:tcPr>
            <w:tcW w:w="749" w:type="pct"/>
            <w:vAlign w:val="center"/>
          </w:tcPr>
          <w:p w14:paraId="2407EA17"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1.270,25</w:t>
            </w:r>
          </w:p>
        </w:tc>
        <w:tc>
          <w:tcPr>
            <w:tcW w:w="1255" w:type="pct"/>
            <w:vAlign w:val="center"/>
          </w:tcPr>
          <w:p w14:paraId="5EAC3F49"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1.330,00</w:t>
            </w:r>
          </w:p>
        </w:tc>
      </w:tr>
      <w:tr w:rsidR="00FB0CE2" w:rsidRPr="00FB0CE2" w14:paraId="2D9EE73F" w14:textId="77777777" w:rsidTr="00FB0CE2">
        <w:trPr>
          <w:trHeight w:val="103"/>
        </w:trPr>
        <w:tc>
          <w:tcPr>
            <w:tcW w:w="749" w:type="pct"/>
            <w:vAlign w:val="center"/>
          </w:tcPr>
          <w:p w14:paraId="7B23C813" w14:textId="77777777" w:rsidR="00FB0CE2" w:rsidRPr="00FB0CE2" w:rsidRDefault="00FB0CE2" w:rsidP="00FB0CE2">
            <w:pPr>
              <w:autoSpaceDE w:val="0"/>
              <w:autoSpaceDN w:val="0"/>
              <w:adjustRightInd w:val="0"/>
              <w:spacing w:after="0" w:line="240" w:lineRule="auto"/>
              <w:jc w:val="right"/>
              <w:rPr>
                <w:rFonts w:ascii="Calibri" w:eastAsia="Calibri" w:hAnsi="Calibri" w:cs="Calibri"/>
                <w:color w:val="000000"/>
                <w:sz w:val="20"/>
                <w:szCs w:val="20"/>
              </w:rPr>
            </w:pPr>
            <w:r w:rsidRPr="00FB0CE2">
              <w:rPr>
                <w:rFonts w:ascii="Calibri" w:eastAsia="Calibri" w:hAnsi="Calibri" w:cs="Calibri"/>
                <w:color w:val="000000"/>
                <w:sz w:val="20"/>
                <w:szCs w:val="20"/>
              </w:rPr>
              <w:t xml:space="preserve">Azot amonowy </w:t>
            </w:r>
          </w:p>
        </w:tc>
        <w:tc>
          <w:tcPr>
            <w:tcW w:w="749" w:type="pct"/>
            <w:vAlign w:val="center"/>
          </w:tcPr>
          <w:p w14:paraId="26BF6861"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mg / l</w:t>
            </w:r>
          </w:p>
        </w:tc>
        <w:tc>
          <w:tcPr>
            <w:tcW w:w="749" w:type="pct"/>
            <w:vAlign w:val="center"/>
          </w:tcPr>
          <w:p w14:paraId="1814253C"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2,36</w:t>
            </w:r>
          </w:p>
        </w:tc>
        <w:tc>
          <w:tcPr>
            <w:tcW w:w="749" w:type="pct"/>
            <w:vAlign w:val="center"/>
          </w:tcPr>
          <w:p w14:paraId="57E53A06"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19,60</w:t>
            </w:r>
          </w:p>
        </w:tc>
        <w:tc>
          <w:tcPr>
            <w:tcW w:w="749" w:type="pct"/>
            <w:vAlign w:val="center"/>
          </w:tcPr>
          <w:p w14:paraId="0FEFE01C"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8,83</w:t>
            </w:r>
          </w:p>
        </w:tc>
        <w:tc>
          <w:tcPr>
            <w:tcW w:w="1255" w:type="pct"/>
            <w:vAlign w:val="center"/>
          </w:tcPr>
          <w:p w14:paraId="0075432E"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9,04</w:t>
            </w:r>
          </w:p>
        </w:tc>
      </w:tr>
      <w:tr w:rsidR="00FB0CE2" w:rsidRPr="00FB0CE2" w14:paraId="3233F636" w14:textId="77777777" w:rsidTr="00FB0CE2">
        <w:trPr>
          <w:trHeight w:val="103"/>
        </w:trPr>
        <w:tc>
          <w:tcPr>
            <w:tcW w:w="749" w:type="pct"/>
            <w:vAlign w:val="center"/>
          </w:tcPr>
          <w:p w14:paraId="441A23D2" w14:textId="77777777" w:rsidR="00FB0CE2" w:rsidRPr="00FB0CE2" w:rsidRDefault="00FB0CE2" w:rsidP="00FB0CE2">
            <w:pPr>
              <w:autoSpaceDE w:val="0"/>
              <w:autoSpaceDN w:val="0"/>
              <w:adjustRightInd w:val="0"/>
              <w:spacing w:after="0" w:line="240" w:lineRule="auto"/>
              <w:jc w:val="right"/>
              <w:rPr>
                <w:rFonts w:ascii="Calibri" w:eastAsia="Calibri" w:hAnsi="Calibri" w:cs="Calibri"/>
                <w:color w:val="000000"/>
                <w:sz w:val="20"/>
                <w:szCs w:val="20"/>
              </w:rPr>
            </w:pPr>
            <w:r w:rsidRPr="00FB0CE2">
              <w:rPr>
                <w:rFonts w:ascii="Calibri" w:eastAsia="Calibri" w:hAnsi="Calibri" w:cs="Calibri"/>
                <w:color w:val="000000"/>
                <w:sz w:val="20"/>
                <w:szCs w:val="20"/>
              </w:rPr>
              <w:t xml:space="preserve">Zawiesina ogólna </w:t>
            </w:r>
          </w:p>
        </w:tc>
        <w:tc>
          <w:tcPr>
            <w:tcW w:w="749" w:type="pct"/>
            <w:vAlign w:val="center"/>
          </w:tcPr>
          <w:p w14:paraId="39DCFCA7"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mg / l</w:t>
            </w:r>
          </w:p>
        </w:tc>
        <w:tc>
          <w:tcPr>
            <w:tcW w:w="749" w:type="pct"/>
            <w:vAlign w:val="center"/>
          </w:tcPr>
          <w:p w14:paraId="6DD56E3A"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55,10</w:t>
            </w:r>
          </w:p>
        </w:tc>
        <w:tc>
          <w:tcPr>
            <w:tcW w:w="749" w:type="pct"/>
            <w:vAlign w:val="center"/>
          </w:tcPr>
          <w:p w14:paraId="2FF2A5ED"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1.000,00</w:t>
            </w:r>
          </w:p>
        </w:tc>
        <w:tc>
          <w:tcPr>
            <w:tcW w:w="749" w:type="pct"/>
            <w:vAlign w:val="center"/>
          </w:tcPr>
          <w:p w14:paraId="0AD43C82"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302,89</w:t>
            </w:r>
          </w:p>
        </w:tc>
        <w:tc>
          <w:tcPr>
            <w:tcW w:w="1255" w:type="pct"/>
            <w:vAlign w:val="center"/>
          </w:tcPr>
          <w:p w14:paraId="0B21FEAD"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143,50</w:t>
            </w:r>
          </w:p>
        </w:tc>
      </w:tr>
      <w:tr w:rsidR="00FB0CE2" w:rsidRPr="00FB0CE2" w14:paraId="19C0E2EA" w14:textId="77777777" w:rsidTr="00FB0CE2">
        <w:trPr>
          <w:trHeight w:val="103"/>
        </w:trPr>
        <w:tc>
          <w:tcPr>
            <w:tcW w:w="749" w:type="pct"/>
            <w:vAlign w:val="center"/>
          </w:tcPr>
          <w:p w14:paraId="0E793469" w14:textId="77777777" w:rsidR="00FB0CE2" w:rsidRPr="00FB0CE2" w:rsidRDefault="00FB0CE2" w:rsidP="00FB0CE2">
            <w:pPr>
              <w:autoSpaceDE w:val="0"/>
              <w:autoSpaceDN w:val="0"/>
              <w:adjustRightInd w:val="0"/>
              <w:spacing w:after="0" w:line="240" w:lineRule="auto"/>
              <w:jc w:val="right"/>
              <w:rPr>
                <w:rFonts w:ascii="Calibri" w:eastAsia="Calibri" w:hAnsi="Calibri" w:cs="Calibri"/>
                <w:color w:val="000000"/>
                <w:sz w:val="20"/>
                <w:szCs w:val="20"/>
              </w:rPr>
            </w:pPr>
            <w:r w:rsidRPr="00FB0CE2">
              <w:rPr>
                <w:rFonts w:ascii="Calibri" w:eastAsia="Calibri" w:hAnsi="Calibri" w:cs="Calibri"/>
                <w:color w:val="000000"/>
                <w:sz w:val="20"/>
                <w:szCs w:val="20"/>
              </w:rPr>
              <w:t xml:space="preserve">Ogólny węgiel organiczny </w:t>
            </w:r>
          </w:p>
        </w:tc>
        <w:tc>
          <w:tcPr>
            <w:tcW w:w="749" w:type="pct"/>
            <w:vAlign w:val="center"/>
          </w:tcPr>
          <w:p w14:paraId="5ADC5BDC"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mg / l</w:t>
            </w:r>
          </w:p>
        </w:tc>
        <w:tc>
          <w:tcPr>
            <w:tcW w:w="749" w:type="pct"/>
            <w:vAlign w:val="center"/>
          </w:tcPr>
          <w:p w14:paraId="52BCFE35"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31,60</w:t>
            </w:r>
          </w:p>
        </w:tc>
        <w:tc>
          <w:tcPr>
            <w:tcW w:w="749" w:type="pct"/>
            <w:vAlign w:val="center"/>
          </w:tcPr>
          <w:p w14:paraId="377117B0"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846,00</w:t>
            </w:r>
          </w:p>
        </w:tc>
        <w:tc>
          <w:tcPr>
            <w:tcW w:w="749" w:type="pct"/>
            <w:vAlign w:val="center"/>
          </w:tcPr>
          <w:p w14:paraId="08A68C03"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219,58</w:t>
            </w:r>
          </w:p>
        </w:tc>
        <w:tc>
          <w:tcPr>
            <w:tcW w:w="1255" w:type="pct"/>
            <w:vAlign w:val="center"/>
          </w:tcPr>
          <w:p w14:paraId="78561718"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107,00</w:t>
            </w:r>
          </w:p>
        </w:tc>
      </w:tr>
      <w:tr w:rsidR="00FB0CE2" w:rsidRPr="00FB0CE2" w14:paraId="35268E2B" w14:textId="77777777" w:rsidTr="00FB0CE2">
        <w:trPr>
          <w:trHeight w:val="103"/>
        </w:trPr>
        <w:tc>
          <w:tcPr>
            <w:tcW w:w="749" w:type="pct"/>
            <w:vAlign w:val="center"/>
          </w:tcPr>
          <w:p w14:paraId="17CDF3C4" w14:textId="77777777" w:rsidR="00FB0CE2" w:rsidRPr="00FB0CE2" w:rsidRDefault="00FB0CE2" w:rsidP="00FB0CE2">
            <w:pPr>
              <w:autoSpaceDE w:val="0"/>
              <w:autoSpaceDN w:val="0"/>
              <w:adjustRightInd w:val="0"/>
              <w:spacing w:after="0" w:line="240" w:lineRule="auto"/>
              <w:jc w:val="right"/>
              <w:rPr>
                <w:rFonts w:ascii="Calibri" w:eastAsia="Calibri" w:hAnsi="Calibri" w:cs="Calibri"/>
                <w:color w:val="000000"/>
                <w:sz w:val="20"/>
                <w:szCs w:val="20"/>
              </w:rPr>
            </w:pPr>
            <w:r w:rsidRPr="00FB0CE2">
              <w:rPr>
                <w:rFonts w:ascii="Calibri" w:eastAsia="Calibri" w:hAnsi="Calibri" w:cs="Calibri"/>
                <w:color w:val="000000"/>
                <w:sz w:val="20"/>
                <w:szCs w:val="20"/>
              </w:rPr>
              <w:t xml:space="preserve">Ołów </w:t>
            </w:r>
          </w:p>
        </w:tc>
        <w:tc>
          <w:tcPr>
            <w:tcW w:w="749" w:type="pct"/>
            <w:vAlign w:val="center"/>
          </w:tcPr>
          <w:p w14:paraId="530D67FD"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mg / l</w:t>
            </w:r>
          </w:p>
        </w:tc>
        <w:tc>
          <w:tcPr>
            <w:tcW w:w="749" w:type="pct"/>
            <w:vAlign w:val="center"/>
          </w:tcPr>
          <w:p w14:paraId="445B412E"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0,011</w:t>
            </w:r>
          </w:p>
        </w:tc>
        <w:tc>
          <w:tcPr>
            <w:tcW w:w="749" w:type="pct"/>
            <w:vAlign w:val="center"/>
          </w:tcPr>
          <w:p w14:paraId="7BE06D9B"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2,95</w:t>
            </w:r>
          </w:p>
        </w:tc>
        <w:tc>
          <w:tcPr>
            <w:tcW w:w="749" w:type="pct"/>
            <w:vAlign w:val="center"/>
          </w:tcPr>
          <w:p w14:paraId="6BD9C2BA"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0,50</w:t>
            </w:r>
          </w:p>
        </w:tc>
        <w:tc>
          <w:tcPr>
            <w:tcW w:w="1255" w:type="pct"/>
            <w:vAlign w:val="center"/>
          </w:tcPr>
          <w:p w14:paraId="1C10374F" w14:textId="77777777" w:rsidR="00FB0CE2" w:rsidRPr="00FB0CE2" w:rsidRDefault="00FB0CE2" w:rsidP="00FB0CE2">
            <w:pPr>
              <w:autoSpaceDE w:val="0"/>
              <w:autoSpaceDN w:val="0"/>
              <w:adjustRightInd w:val="0"/>
              <w:spacing w:after="0" w:line="240"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0,29</w:t>
            </w:r>
          </w:p>
        </w:tc>
      </w:tr>
      <w:tr w:rsidR="00FB0CE2" w:rsidRPr="00FB0CE2" w14:paraId="140B0BDF" w14:textId="77777777" w:rsidTr="00FB0CE2">
        <w:trPr>
          <w:trHeight w:val="103"/>
        </w:trPr>
        <w:tc>
          <w:tcPr>
            <w:tcW w:w="749" w:type="pct"/>
            <w:vAlign w:val="center"/>
          </w:tcPr>
          <w:p w14:paraId="2328D181" w14:textId="77777777" w:rsidR="00FB0CE2" w:rsidRPr="00FB0CE2" w:rsidRDefault="00FB0CE2" w:rsidP="00FB0CE2">
            <w:pPr>
              <w:autoSpaceDE w:val="0"/>
              <w:autoSpaceDN w:val="0"/>
              <w:adjustRightInd w:val="0"/>
              <w:spacing w:after="0" w:line="276" w:lineRule="auto"/>
              <w:jc w:val="right"/>
              <w:rPr>
                <w:rFonts w:ascii="Calibri" w:eastAsia="Calibri" w:hAnsi="Calibri" w:cs="Calibri"/>
                <w:color w:val="000000"/>
                <w:sz w:val="20"/>
                <w:szCs w:val="20"/>
              </w:rPr>
            </w:pPr>
            <w:proofErr w:type="spellStart"/>
            <w:r w:rsidRPr="00FB0CE2">
              <w:rPr>
                <w:rFonts w:ascii="Calibri" w:eastAsia="Calibri" w:hAnsi="Calibri" w:cs="Calibri"/>
                <w:color w:val="000000"/>
                <w:sz w:val="20"/>
                <w:szCs w:val="20"/>
              </w:rPr>
              <w:t>pH</w:t>
            </w:r>
            <w:proofErr w:type="spellEnd"/>
          </w:p>
        </w:tc>
        <w:tc>
          <w:tcPr>
            <w:tcW w:w="749" w:type="pct"/>
            <w:vAlign w:val="center"/>
          </w:tcPr>
          <w:p w14:paraId="6FF9F915"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w:t>
            </w:r>
          </w:p>
        </w:tc>
        <w:tc>
          <w:tcPr>
            <w:tcW w:w="749" w:type="pct"/>
            <w:vAlign w:val="center"/>
          </w:tcPr>
          <w:p w14:paraId="63D595CF"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w:t>
            </w:r>
          </w:p>
        </w:tc>
        <w:tc>
          <w:tcPr>
            <w:tcW w:w="749" w:type="pct"/>
            <w:vAlign w:val="center"/>
          </w:tcPr>
          <w:p w14:paraId="13E117B8"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w:t>
            </w:r>
          </w:p>
        </w:tc>
        <w:tc>
          <w:tcPr>
            <w:tcW w:w="749" w:type="pct"/>
            <w:vAlign w:val="center"/>
          </w:tcPr>
          <w:p w14:paraId="3D57A870"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11,5</w:t>
            </w:r>
          </w:p>
        </w:tc>
        <w:tc>
          <w:tcPr>
            <w:tcW w:w="1255" w:type="pct"/>
            <w:vAlign w:val="center"/>
          </w:tcPr>
          <w:p w14:paraId="66E5AC2C"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w:t>
            </w:r>
          </w:p>
        </w:tc>
      </w:tr>
      <w:tr w:rsidR="00FB0CE2" w:rsidRPr="00FB0CE2" w14:paraId="2993FB15" w14:textId="77777777" w:rsidTr="00FB0CE2">
        <w:trPr>
          <w:trHeight w:val="103"/>
        </w:trPr>
        <w:tc>
          <w:tcPr>
            <w:tcW w:w="749" w:type="pct"/>
            <w:vAlign w:val="center"/>
          </w:tcPr>
          <w:p w14:paraId="06D33578" w14:textId="77777777" w:rsidR="00FB0CE2" w:rsidRPr="00FB0CE2" w:rsidRDefault="00FB0CE2" w:rsidP="00FB0CE2">
            <w:pPr>
              <w:autoSpaceDE w:val="0"/>
              <w:autoSpaceDN w:val="0"/>
              <w:adjustRightInd w:val="0"/>
              <w:spacing w:after="0" w:line="276" w:lineRule="auto"/>
              <w:jc w:val="right"/>
              <w:rPr>
                <w:rFonts w:ascii="Calibri" w:eastAsia="Calibri" w:hAnsi="Calibri" w:cs="Calibri"/>
                <w:color w:val="000000"/>
                <w:sz w:val="20"/>
                <w:szCs w:val="20"/>
              </w:rPr>
            </w:pPr>
            <w:r w:rsidRPr="00FB0CE2">
              <w:rPr>
                <w:rFonts w:ascii="Calibri" w:eastAsia="Calibri" w:hAnsi="Calibri" w:cs="Calibri"/>
                <w:color w:val="000000"/>
                <w:sz w:val="20"/>
                <w:szCs w:val="20"/>
              </w:rPr>
              <w:t>Przewodność</w:t>
            </w:r>
          </w:p>
        </w:tc>
        <w:tc>
          <w:tcPr>
            <w:tcW w:w="749" w:type="pct"/>
            <w:vAlign w:val="center"/>
          </w:tcPr>
          <w:p w14:paraId="6FB6ECB2"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proofErr w:type="spellStart"/>
            <w:r w:rsidRPr="00FB0CE2">
              <w:rPr>
                <w:rFonts w:ascii="Calibri" w:eastAsia="Calibri" w:hAnsi="Calibri" w:cs="Calibri"/>
                <w:color w:val="000000"/>
                <w:sz w:val="20"/>
                <w:szCs w:val="20"/>
              </w:rPr>
              <w:t>mS</w:t>
            </w:r>
            <w:proofErr w:type="spellEnd"/>
            <w:r w:rsidRPr="00FB0CE2">
              <w:rPr>
                <w:rFonts w:ascii="Calibri" w:eastAsia="Calibri" w:hAnsi="Calibri" w:cs="Calibri"/>
                <w:color w:val="000000"/>
                <w:sz w:val="20"/>
                <w:szCs w:val="20"/>
              </w:rPr>
              <w:t xml:space="preserve"> / cm</w:t>
            </w:r>
          </w:p>
        </w:tc>
        <w:tc>
          <w:tcPr>
            <w:tcW w:w="749" w:type="pct"/>
            <w:vAlign w:val="center"/>
          </w:tcPr>
          <w:p w14:paraId="57A35A08"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w:t>
            </w:r>
          </w:p>
        </w:tc>
        <w:tc>
          <w:tcPr>
            <w:tcW w:w="749" w:type="pct"/>
            <w:vAlign w:val="center"/>
          </w:tcPr>
          <w:p w14:paraId="30C1B801"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w:t>
            </w:r>
          </w:p>
        </w:tc>
        <w:tc>
          <w:tcPr>
            <w:tcW w:w="749" w:type="pct"/>
            <w:vAlign w:val="center"/>
          </w:tcPr>
          <w:p w14:paraId="12BCC2B3"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20,0</w:t>
            </w:r>
          </w:p>
        </w:tc>
        <w:tc>
          <w:tcPr>
            <w:tcW w:w="1255" w:type="pct"/>
            <w:vAlign w:val="center"/>
          </w:tcPr>
          <w:p w14:paraId="6E8619AD" w14:textId="77777777" w:rsidR="00FB0CE2" w:rsidRPr="00FB0CE2" w:rsidRDefault="00FB0CE2" w:rsidP="00FB0CE2">
            <w:pPr>
              <w:autoSpaceDE w:val="0"/>
              <w:autoSpaceDN w:val="0"/>
              <w:adjustRightInd w:val="0"/>
              <w:spacing w:after="0" w:line="276" w:lineRule="auto"/>
              <w:jc w:val="center"/>
              <w:rPr>
                <w:rFonts w:ascii="Calibri" w:eastAsia="Calibri" w:hAnsi="Calibri" w:cs="Calibri"/>
                <w:color w:val="000000"/>
                <w:sz w:val="20"/>
                <w:szCs w:val="20"/>
              </w:rPr>
            </w:pPr>
            <w:r w:rsidRPr="00FB0CE2">
              <w:rPr>
                <w:rFonts w:ascii="Calibri" w:eastAsia="Calibri" w:hAnsi="Calibri" w:cs="Calibri"/>
                <w:color w:val="000000"/>
                <w:sz w:val="20"/>
                <w:szCs w:val="20"/>
              </w:rPr>
              <w:t>-</w:t>
            </w:r>
          </w:p>
        </w:tc>
      </w:tr>
    </w:tbl>
    <w:p w14:paraId="2D142A93" w14:textId="77777777" w:rsidR="00FB0CE2" w:rsidRPr="00FB0CE2" w:rsidRDefault="00FB0CE2" w:rsidP="00FB0CE2">
      <w:pPr>
        <w:tabs>
          <w:tab w:val="left" w:pos="3005"/>
        </w:tabs>
        <w:spacing w:after="200" w:line="276" w:lineRule="auto"/>
        <w:jc w:val="both"/>
        <w:rPr>
          <w:rFonts w:ascii="Calibri" w:eastAsia="Calibri" w:hAnsi="Calibri" w:cs="Calibri"/>
          <w:sz w:val="20"/>
          <w:szCs w:val="20"/>
        </w:rPr>
      </w:pPr>
    </w:p>
    <w:p w14:paraId="79B209FD"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Ścieki (odcieki) pochodzące z procesu waloryzacji i sezonowania odpadu o kodzie 19 01 12 wytwarzane są w sposób nierównomierny i okresowy a ich zrzut odbywa się partiami (po osiągnięciu poziomu maksymalnego w pompowni ścieków surowych). Maksymalna ilość ścieków wytwarzanych w ciągu okresu jednego miesiąca wynosi około 200 m</w:t>
      </w:r>
      <w:r w:rsidRPr="00FB0CE2">
        <w:rPr>
          <w:rFonts w:ascii="Calibri" w:eastAsia="Calibri" w:hAnsi="Calibri" w:cs="Calibri"/>
          <w:color w:val="000000"/>
          <w:sz w:val="20"/>
          <w:szCs w:val="20"/>
          <w:vertAlign w:val="superscript"/>
        </w:rPr>
        <w:t>3</w:t>
      </w:r>
      <w:r w:rsidRPr="00FB0CE2">
        <w:rPr>
          <w:rFonts w:ascii="Calibri" w:eastAsia="Calibri" w:hAnsi="Calibri" w:cs="Calibri"/>
          <w:color w:val="000000"/>
          <w:sz w:val="20"/>
          <w:szCs w:val="20"/>
        </w:rPr>
        <w:t xml:space="preserve"> , maksymalna ilość ścieków (odcieków) wytwarzanych w ciągu jednej godziny wynosi 2 m</w:t>
      </w:r>
      <w:r w:rsidRPr="00FB0CE2">
        <w:rPr>
          <w:rFonts w:ascii="Calibri" w:eastAsia="Calibri" w:hAnsi="Calibri" w:cs="Calibri"/>
          <w:color w:val="000000"/>
          <w:sz w:val="20"/>
          <w:szCs w:val="20"/>
          <w:vertAlign w:val="superscript"/>
        </w:rPr>
        <w:t>3</w:t>
      </w:r>
      <w:r w:rsidRPr="00FB0CE2">
        <w:rPr>
          <w:rFonts w:ascii="Calibri" w:eastAsia="Calibri" w:hAnsi="Calibri" w:cs="Calibri"/>
          <w:color w:val="000000"/>
          <w:sz w:val="20"/>
          <w:szCs w:val="20"/>
        </w:rPr>
        <w:t xml:space="preserve">  oraz maksymalna ilość ścieków (odcieków) wytwarzanych w ciągu jednej doby wynosi 6 m</w:t>
      </w:r>
      <w:r w:rsidRPr="00FB0CE2">
        <w:rPr>
          <w:rFonts w:ascii="Calibri" w:eastAsia="Calibri" w:hAnsi="Calibri" w:cs="Calibri"/>
          <w:color w:val="000000"/>
          <w:sz w:val="20"/>
          <w:szCs w:val="20"/>
          <w:vertAlign w:val="superscript"/>
        </w:rPr>
        <w:t>3</w:t>
      </w:r>
      <w:r w:rsidRPr="00FB0CE2">
        <w:rPr>
          <w:rFonts w:ascii="Calibri" w:eastAsia="Calibri" w:hAnsi="Calibri" w:cs="Calibri"/>
          <w:color w:val="000000"/>
          <w:sz w:val="20"/>
          <w:szCs w:val="20"/>
        </w:rPr>
        <w:t xml:space="preserve">. </w:t>
      </w:r>
    </w:p>
    <w:p w14:paraId="3E361EC7"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3D47997A"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7ED7A759" w14:textId="77777777" w:rsidR="00FB0CE2" w:rsidRPr="00FB0CE2" w:rsidRDefault="00FB0CE2" w:rsidP="00FB0CE2">
      <w:pPr>
        <w:numPr>
          <w:ilvl w:val="0"/>
          <w:numId w:val="59"/>
        </w:numPr>
        <w:autoSpaceDE w:val="0"/>
        <w:autoSpaceDN w:val="0"/>
        <w:adjustRightInd w:val="0"/>
        <w:spacing w:after="0" w:line="276" w:lineRule="auto"/>
        <w:ind w:left="360"/>
        <w:jc w:val="both"/>
        <w:rPr>
          <w:rFonts w:ascii="Calibri" w:eastAsia="Calibri" w:hAnsi="Calibri" w:cs="Calibri"/>
          <w:b/>
          <w:bCs/>
          <w:color w:val="000000"/>
          <w:sz w:val="20"/>
          <w:szCs w:val="20"/>
        </w:rPr>
      </w:pPr>
      <w:r w:rsidRPr="00FB0CE2">
        <w:rPr>
          <w:rFonts w:ascii="Calibri" w:eastAsia="Calibri" w:hAnsi="Calibri" w:cs="Calibri"/>
          <w:b/>
          <w:bCs/>
          <w:color w:val="000000"/>
          <w:sz w:val="20"/>
          <w:szCs w:val="20"/>
        </w:rPr>
        <w:t>Warunki realizacji:</w:t>
      </w:r>
    </w:p>
    <w:p w14:paraId="323BECDB"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3FFA5A36" w14:textId="77777777" w:rsidR="00FB0CE2" w:rsidRPr="00FB0CE2" w:rsidRDefault="00FB0CE2" w:rsidP="00FB0CE2">
      <w:pPr>
        <w:spacing w:after="0" w:line="276" w:lineRule="auto"/>
        <w:jc w:val="both"/>
        <w:rPr>
          <w:rFonts w:ascii="Calibri" w:eastAsia="Times New Roman" w:hAnsi="Calibri" w:cs="Calibri"/>
          <w:b/>
          <w:bCs/>
          <w:sz w:val="20"/>
          <w:szCs w:val="20"/>
          <w:lang w:eastAsia="ar-SA"/>
        </w:rPr>
      </w:pPr>
      <w:r w:rsidRPr="00FB0CE2">
        <w:rPr>
          <w:rFonts w:ascii="Calibri" w:eastAsia="Calibri" w:hAnsi="Calibri" w:cs="Calibri"/>
          <w:sz w:val="20"/>
          <w:szCs w:val="20"/>
        </w:rPr>
        <w:t xml:space="preserve">Przedmiot zamówienia zostanie zrealizowany w terminie </w:t>
      </w:r>
      <w:r w:rsidRPr="00FB0CE2">
        <w:rPr>
          <w:rFonts w:ascii="Calibri" w:eastAsia="Calibri" w:hAnsi="Calibri" w:cs="Calibri"/>
          <w:b/>
          <w:bCs/>
          <w:sz w:val="20"/>
          <w:szCs w:val="20"/>
        </w:rPr>
        <w:t>do 180 dni od podpisania umowy.</w:t>
      </w:r>
    </w:p>
    <w:p w14:paraId="02639C7E" w14:textId="77777777" w:rsidR="00FB0CE2" w:rsidRPr="00FB0CE2" w:rsidRDefault="00FB0CE2" w:rsidP="00FB0CE2">
      <w:pPr>
        <w:numPr>
          <w:ilvl w:val="0"/>
          <w:numId w:val="63"/>
        </w:numPr>
        <w:spacing w:after="0" w:line="276" w:lineRule="auto"/>
        <w:contextualSpacing/>
        <w:jc w:val="both"/>
        <w:rPr>
          <w:rFonts w:ascii="Calibri" w:eastAsia="Calibri" w:hAnsi="Calibri" w:cs="Calibri"/>
          <w:sz w:val="20"/>
          <w:szCs w:val="20"/>
          <w:u w:val="single"/>
        </w:rPr>
      </w:pPr>
      <w:r w:rsidRPr="00FB0CE2">
        <w:rPr>
          <w:rFonts w:ascii="Calibri" w:eastAsia="Calibri" w:hAnsi="Calibri" w:cs="Calibri"/>
          <w:sz w:val="20"/>
          <w:szCs w:val="20"/>
        </w:rPr>
        <w:t xml:space="preserve">Etap I – Opracowanie kompletnych projektów wymaganych w OPZ tj. projektu technologicznego, projektu branży elektrycznej i projektu branży </w:t>
      </w:r>
      <w:proofErr w:type="spellStart"/>
      <w:r w:rsidRPr="00FB0CE2">
        <w:rPr>
          <w:rFonts w:ascii="Calibri" w:eastAsia="Calibri" w:hAnsi="Calibri" w:cs="Calibri"/>
          <w:sz w:val="20"/>
          <w:szCs w:val="20"/>
        </w:rPr>
        <w:t>AKPiA</w:t>
      </w:r>
      <w:proofErr w:type="spellEnd"/>
      <w:r w:rsidRPr="00FB0CE2">
        <w:rPr>
          <w:rFonts w:ascii="Calibri" w:eastAsia="Calibri" w:hAnsi="Calibri" w:cs="Calibri"/>
          <w:sz w:val="20"/>
          <w:szCs w:val="20"/>
        </w:rPr>
        <w:t xml:space="preserve">  - </w:t>
      </w:r>
      <w:r w:rsidRPr="00FB0CE2">
        <w:rPr>
          <w:rFonts w:ascii="Calibri" w:eastAsia="Calibri" w:hAnsi="Calibri" w:cs="Calibri"/>
          <w:sz w:val="20"/>
          <w:szCs w:val="20"/>
          <w:u w:val="single"/>
        </w:rPr>
        <w:t>w terminie do 60 dni od podpisania umowy;</w:t>
      </w:r>
    </w:p>
    <w:p w14:paraId="42773D34" w14:textId="1187E9BE" w:rsidR="00FB0CE2" w:rsidRPr="00FB0CE2" w:rsidRDefault="00FB0CE2" w:rsidP="00FB0CE2">
      <w:pPr>
        <w:numPr>
          <w:ilvl w:val="0"/>
          <w:numId w:val="63"/>
        </w:numPr>
        <w:spacing w:after="0" w:line="276" w:lineRule="auto"/>
        <w:contextualSpacing/>
        <w:jc w:val="both"/>
        <w:rPr>
          <w:rFonts w:ascii="Calibri" w:eastAsia="Calibri" w:hAnsi="Calibri" w:cs="Calibri"/>
          <w:sz w:val="20"/>
          <w:szCs w:val="20"/>
        </w:rPr>
      </w:pPr>
      <w:r w:rsidRPr="00FB0CE2">
        <w:rPr>
          <w:rFonts w:ascii="Calibri" w:eastAsia="Calibri" w:hAnsi="Calibri" w:cs="Calibri"/>
          <w:sz w:val="20"/>
          <w:szCs w:val="20"/>
        </w:rPr>
        <w:t xml:space="preserve">Etap II – Dostawa i montaż urządzeń wskazanych w OPZ wraz z wykonaniem wszelkich czynności niezbędnych do uruchomienia urządzeń (np. demontaż lub przesunięcie istniejących urządzeń w zakresie wymaganym w celu montażu nowych urządzeń czy adaptacja istniejącej infrastruktury służącej do tłoczenia i </w:t>
      </w:r>
      <w:proofErr w:type="spellStart"/>
      <w:r w:rsidRPr="00FB0CE2">
        <w:rPr>
          <w:rFonts w:ascii="Calibri" w:eastAsia="Calibri" w:hAnsi="Calibri" w:cs="Calibri"/>
          <w:sz w:val="20"/>
          <w:szCs w:val="20"/>
        </w:rPr>
        <w:t>przesyłu</w:t>
      </w:r>
      <w:proofErr w:type="spellEnd"/>
      <w:r w:rsidRPr="00FB0CE2">
        <w:rPr>
          <w:rFonts w:ascii="Calibri" w:eastAsia="Calibri" w:hAnsi="Calibri" w:cs="Calibri"/>
          <w:sz w:val="20"/>
          <w:szCs w:val="20"/>
        </w:rPr>
        <w:t xml:space="preserve"> ścieków) – </w:t>
      </w:r>
      <w:r w:rsidRPr="00FB0CE2">
        <w:rPr>
          <w:rFonts w:ascii="Calibri" w:eastAsia="Calibri" w:hAnsi="Calibri" w:cs="Calibri"/>
          <w:sz w:val="20"/>
          <w:szCs w:val="20"/>
          <w:u w:val="single"/>
        </w:rPr>
        <w:t>w terminie do 160 dni od podpisania umowy (z zastrzeżeniem, że demontaż starych i montaż nowych nie może zająć więcej niż  14 dni);</w:t>
      </w:r>
    </w:p>
    <w:p w14:paraId="7373CCE8" w14:textId="77777777" w:rsidR="00FB0CE2" w:rsidRPr="00FB0CE2" w:rsidRDefault="00FB0CE2" w:rsidP="00FB0CE2">
      <w:pPr>
        <w:numPr>
          <w:ilvl w:val="0"/>
          <w:numId w:val="63"/>
        </w:numPr>
        <w:tabs>
          <w:tab w:val="left" w:pos="426"/>
          <w:tab w:val="center" w:pos="4536"/>
          <w:tab w:val="right" w:pos="9072"/>
        </w:tabs>
        <w:spacing w:after="0" w:line="276" w:lineRule="auto"/>
        <w:contextualSpacing/>
        <w:jc w:val="both"/>
        <w:rPr>
          <w:rFonts w:ascii="Calibri" w:eastAsia="Calibri" w:hAnsi="Calibri" w:cs="Calibri"/>
          <w:b/>
          <w:bCs/>
          <w:sz w:val="20"/>
          <w:szCs w:val="20"/>
        </w:rPr>
      </w:pPr>
      <w:r w:rsidRPr="00FB0CE2">
        <w:rPr>
          <w:rFonts w:ascii="Calibri" w:eastAsia="Calibri" w:hAnsi="Calibri" w:cs="Calibri"/>
          <w:sz w:val="20"/>
          <w:szCs w:val="20"/>
        </w:rPr>
        <w:t xml:space="preserve">Etap III – Przeprowadzenie rozruchu, szkolenia i przekazanie Zamawiającemu do użytkowania przedmiotu Umowy, w tym dostarczenie wszelkich dokumentów projektowych wraz z dokumentacją </w:t>
      </w:r>
      <w:proofErr w:type="spellStart"/>
      <w:r w:rsidRPr="00FB0CE2">
        <w:rPr>
          <w:rFonts w:ascii="Calibri" w:eastAsia="Calibri" w:hAnsi="Calibri" w:cs="Calibri"/>
          <w:sz w:val="20"/>
          <w:szCs w:val="20"/>
        </w:rPr>
        <w:t>techniczno</w:t>
      </w:r>
      <w:proofErr w:type="spellEnd"/>
      <w:r w:rsidRPr="00FB0CE2">
        <w:rPr>
          <w:rFonts w:ascii="Calibri" w:eastAsia="Calibri" w:hAnsi="Calibri" w:cs="Calibri"/>
          <w:sz w:val="20"/>
          <w:szCs w:val="20"/>
        </w:rPr>
        <w:t xml:space="preserve"> – ruchową urządzeń i infrastruktury pomocniczej </w:t>
      </w:r>
      <w:r w:rsidRPr="00FB0CE2">
        <w:rPr>
          <w:rFonts w:ascii="Calibri" w:eastAsia="Calibri" w:hAnsi="Calibri" w:cs="Calibri"/>
          <w:sz w:val="20"/>
          <w:szCs w:val="20"/>
          <w:u w:val="single"/>
        </w:rPr>
        <w:t>- w terminie do 180 dni od podpisania umowy.</w:t>
      </w:r>
    </w:p>
    <w:p w14:paraId="3C88C908" w14:textId="77777777" w:rsidR="00FB0CE2" w:rsidRPr="00FB0CE2" w:rsidRDefault="00FB0CE2" w:rsidP="00FB0CE2">
      <w:pPr>
        <w:suppressAutoHyphens/>
        <w:spacing w:after="0" w:line="276" w:lineRule="auto"/>
        <w:ind w:left="567"/>
        <w:jc w:val="both"/>
        <w:rPr>
          <w:rFonts w:ascii="Calibri" w:eastAsia="Times New Roman" w:hAnsi="Calibri" w:cs="Calibri"/>
          <w:bCs/>
          <w:sz w:val="20"/>
          <w:szCs w:val="20"/>
          <w:lang w:eastAsia="ar-SA"/>
        </w:rPr>
      </w:pPr>
    </w:p>
    <w:p w14:paraId="66950F58"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7F7AA232" w14:textId="77777777" w:rsidR="00FB0CE2" w:rsidRPr="00FB0CE2" w:rsidRDefault="00FB0CE2" w:rsidP="00FB0CE2">
      <w:pPr>
        <w:numPr>
          <w:ilvl w:val="0"/>
          <w:numId w:val="59"/>
        </w:numPr>
        <w:autoSpaceDE w:val="0"/>
        <w:autoSpaceDN w:val="0"/>
        <w:adjustRightInd w:val="0"/>
        <w:spacing w:after="0" w:line="276" w:lineRule="auto"/>
        <w:ind w:left="360"/>
        <w:jc w:val="both"/>
        <w:rPr>
          <w:rFonts w:ascii="Calibri" w:eastAsia="Calibri" w:hAnsi="Calibri" w:cs="Calibri"/>
          <w:color w:val="000000"/>
          <w:sz w:val="20"/>
          <w:szCs w:val="20"/>
        </w:rPr>
      </w:pPr>
      <w:r w:rsidRPr="00FB0CE2">
        <w:rPr>
          <w:rFonts w:ascii="Calibri" w:eastAsia="Calibri" w:hAnsi="Calibri" w:cs="Calibri"/>
          <w:b/>
          <w:bCs/>
          <w:color w:val="000000"/>
          <w:sz w:val="20"/>
          <w:szCs w:val="20"/>
        </w:rPr>
        <w:t>Warunki płatności:</w:t>
      </w:r>
    </w:p>
    <w:p w14:paraId="1EAD4257"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77D6C5EA"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r w:rsidRPr="00FB0CE2">
        <w:rPr>
          <w:rFonts w:ascii="Calibri" w:eastAsia="Calibri" w:hAnsi="Calibri" w:cs="Calibri"/>
          <w:color w:val="000000"/>
          <w:sz w:val="20"/>
          <w:szCs w:val="20"/>
        </w:rPr>
        <w:t xml:space="preserve">Warunki płatności: 20 % całości wartości zamówienia po wykonaniu etapu I, 30 % całości wartości zamówienia po wykonaniu etapu II , 50 % całości wartości zamówienia po wykonaniu etapu III. </w:t>
      </w:r>
    </w:p>
    <w:p w14:paraId="057398B3"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3EB5B3B7" w14:textId="77777777" w:rsidR="00FB0CE2" w:rsidRPr="00FB0CE2" w:rsidRDefault="00FB0CE2" w:rsidP="00FB0CE2">
      <w:pPr>
        <w:autoSpaceDE w:val="0"/>
        <w:autoSpaceDN w:val="0"/>
        <w:adjustRightInd w:val="0"/>
        <w:spacing w:after="0" w:line="276" w:lineRule="auto"/>
        <w:jc w:val="both"/>
        <w:rPr>
          <w:rFonts w:ascii="Calibri" w:eastAsia="Calibri" w:hAnsi="Calibri" w:cs="Calibri"/>
          <w:color w:val="000000"/>
          <w:sz w:val="20"/>
          <w:szCs w:val="20"/>
        </w:rPr>
      </w:pPr>
    </w:p>
    <w:p w14:paraId="5BBC3F28" w14:textId="77777777" w:rsidR="00FB0CE2" w:rsidRPr="00FB0CE2" w:rsidRDefault="00FB0CE2" w:rsidP="00FB0CE2">
      <w:pPr>
        <w:numPr>
          <w:ilvl w:val="0"/>
          <w:numId w:val="59"/>
        </w:numPr>
        <w:autoSpaceDE w:val="0"/>
        <w:autoSpaceDN w:val="0"/>
        <w:adjustRightInd w:val="0"/>
        <w:spacing w:after="0" w:line="276" w:lineRule="auto"/>
        <w:ind w:left="360"/>
        <w:jc w:val="both"/>
        <w:rPr>
          <w:rFonts w:ascii="Calibri" w:eastAsia="Calibri" w:hAnsi="Calibri" w:cs="Calibri"/>
          <w:b/>
          <w:bCs/>
          <w:color w:val="000000"/>
          <w:sz w:val="20"/>
          <w:szCs w:val="20"/>
        </w:rPr>
      </w:pPr>
      <w:r w:rsidRPr="00FB0CE2">
        <w:rPr>
          <w:rFonts w:ascii="Calibri" w:eastAsia="Calibri" w:hAnsi="Calibri" w:cs="Calibri"/>
          <w:b/>
          <w:bCs/>
          <w:color w:val="000000"/>
          <w:sz w:val="20"/>
          <w:szCs w:val="20"/>
        </w:rPr>
        <w:t xml:space="preserve">Parametry Gwarantowane wymagane przez Zamawiającego: </w:t>
      </w:r>
    </w:p>
    <w:p w14:paraId="5FCFCCE7" w14:textId="77777777" w:rsidR="00FB0CE2" w:rsidRPr="00FB0CE2" w:rsidRDefault="00FB0CE2" w:rsidP="00FB0CE2">
      <w:pPr>
        <w:tabs>
          <w:tab w:val="left" w:pos="3005"/>
        </w:tabs>
        <w:spacing w:after="200" w:line="276" w:lineRule="auto"/>
        <w:jc w:val="both"/>
        <w:rPr>
          <w:rFonts w:ascii="Calibri" w:eastAsia="Calibri" w:hAnsi="Calibri" w:cs="Calibri"/>
          <w:sz w:val="20"/>
          <w:szCs w:val="20"/>
        </w:rPr>
      </w:pPr>
    </w:p>
    <w:p w14:paraId="41F49EEC" w14:textId="77777777" w:rsidR="00FB0CE2" w:rsidRPr="00FB0CE2" w:rsidRDefault="00FB0CE2" w:rsidP="00FB0CE2">
      <w:pPr>
        <w:tabs>
          <w:tab w:val="left" w:pos="3005"/>
        </w:tabs>
        <w:spacing w:after="200" w:line="276" w:lineRule="auto"/>
        <w:jc w:val="both"/>
        <w:rPr>
          <w:rFonts w:ascii="Calibri" w:eastAsia="Calibri" w:hAnsi="Calibri" w:cs="Calibri"/>
          <w:sz w:val="20"/>
          <w:szCs w:val="20"/>
        </w:rPr>
      </w:pPr>
      <w:r w:rsidRPr="00FB0CE2">
        <w:rPr>
          <w:rFonts w:ascii="Calibri" w:eastAsia="Calibri" w:hAnsi="Calibri" w:cs="Calibri"/>
          <w:sz w:val="20"/>
          <w:szCs w:val="20"/>
        </w:rPr>
        <w:t xml:space="preserve">Poza innymi wymaganiami określonymi wyżej, Zamawiający wskazuje, że bezwzględnym celem realizacji zamówienia jest uzyskanie poniższych parametrów dotyczących podczyszczonych ścieków, których nieosiągnięcie równoznaczne będzie z brakiem przydatności instalacji dla Zamawiającego:  </w:t>
      </w: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4602"/>
        <w:gridCol w:w="4603"/>
      </w:tblGrid>
      <w:tr w:rsidR="00FB0CE2" w:rsidRPr="00FB0CE2" w14:paraId="7FB45C99" w14:textId="77777777" w:rsidTr="00477D1F">
        <w:trPr>
          <w:trHeight w:val="291"/>
        </w:trPr>
        <w:tc>
          <w:tcPr>
            <w:tcW w:w="2500" w:type="pct"/>
          </w:tcPr>
          <w:p w14:paraId="608197E1" w14:textId="77777777" w:rsidR="00FB0CE2" w:rsidRPr="00FB0CE2" w:rsidRDefault="00FB0CE2" w:rsidP="00FB0CE2">
            <w:pPr>
              <w:autoSpaceDE w:val="0"/>
              <w:autoSpaceDN w:val="0"/>
              <w:adjustRightInd w:val="0"/>
              <w:spacing w:after="0" w:line="276" w:lineRule="auto"/>
              <w:rPr>
                <w:rFonts w:ascii="Calibri" w:eastAsia="Calibri" w:hAnsi="Calibri" w:cs="Calibri"/>
                <w:color w:val="000000"/>
                <w:sz w:val="20"/>
                <w:szCs w:val="20"/>
              </w:rPr>
            </w:pPr>
            <w:r w:rsidRPr="00FB0CE2">
              <w:rPr>
                <w:rFonts w:ascii="Calibri" w:eastAsia="Calibri" w:hAnsi="Calibri" w:cs="Calibri"/>
                <w:color w:val="000000"/>
                <w:sz w:val="20"/>
                <w:szCs w:val="20"/>
              </w:rPr>
              <w:lastRenderedPageBreak/>
              <w:t xml:space="preserve">Minimalny parametr wymagany przez Zamawiającego </w:t>
            </w:r>
          </w:p>
        </w:tc>
        <w:tc>
          <w:tcPr>
            <w:tcW w:w="2500" w:type="pct"/>
          </w:tcPr>
          <w:p w14:paraId="66AC6BE7" w14:textId="77777777" w:rsidR="00FB0CE2" w:rsidRPr="00FB0CE2" w:rsidRDefault="00FB0CE2" w:rsidP="00FB0CE2">
            <w:pPr>
              <w:autoSpaceDE w:val="0"/>
              <w:autoSpaceDN w:val="0"/>
              <w:adjustRightInd w:val="0"/>
              <w:spacing w:after="0" w:line="276" w:lineRule="auto"/>
              <w:rPr>
                <w:rFonts w:ascii="Calibri" w:eastAsia="Calibri" w:hAnsi="Calibri" w:cs="Calibri"/>
                <w:color w:val="000000"/>
                <w:sz w:val="20"/>
                <w:szCs w:val="20"/>
              </w:rPr>
            </w:pPr>
            <w:r w:rsidRPr="00FB0CE2">
              <w:rPr>
                <w:rFonts w:ascii="Calibri" w:eastAsia="Calibri" w:hAnsi="Calibri" w:cs="Calibri"/>
                <w:color w:val="000000"/>
                <w:sz w:val="20"/>
                <w:szCs w:val="20"/>
              </w:rPr>
              <w:t xml:space="preserve">Wartość minimalnego parametru wymaganego przez Zamawiającego </w:t>
            </w:r>
          </w:p>
        </w:tc>
      </w:tr>
      <w:tr w:rsidR="00FB0CE2" w:rsidRPr="00FB0CE2" w14:paraId="53A0ED34" w14:textId="77777777" w:rsidTr="00477D1F">
        <w:trPr>
          <w:trHeight w:val="103"/>
        </w:trPr>
        <w:tc>
          <w:tcPr>
            <w:tcW w:w="2500" w:type="pct"/>
          </w:tcPr>
          <w:p w14:paraId="45515810" w14:textId="77777777" w:rsidR="00FB0CE2" w:rsidRPr="00FB0CE2" w:rsidRDefault="00FB0CE2" w:rsidP="00FB0CE2">
            <w:pPr>
              <w:autoSpaceDE w:val="0"/>
              <w:autoSpaceDN w:val="0"/>
              <w:adjustRightInd w:val="0"/>
              <w:spacing w:after="0" w:line="276" w:lineRule="auto"/>
              <w:rPr>
                <w:rFonts w:ascii="Calibri" w:eastAsia="Calibri" w:hAnsi="Calibri" w:cs="Calibri"/>
                <w:color w:val="000000"/>
                <w:sz w:val="20"/>
                <w:szCs w:val="20"/>
              </w:rPr>
            </w:pPr>
            <w:r w:rsidRPr="00FB0CE2">
              <w:rPr>
                <w:rFonts w:ascii="Calibri" w:eastAsia="Calibri" w:hAnsi="Calibri" w:cs="Calibri"/>
                <w:color w:val="000000"/>
                <w:sz w:val="20"/>
                <w:szCs w:val="20"/>
              </w:rPr>
              <w:t xml:space="preserve">Całkowita zawartość ołowiu w ścieku podczyszczonym </w:t>
            </w:r>
          </w:p>
        </w:tc>
        <w:tc>
          <w:tcPr>
            <w:tcW w:w="2500" w:type="pct"/>
          </w:tcPr>
          <w:p w14:paraId="5CAC28AA" w14:textId="77777777" w:rsidR="00FB0CE2" w:rsidRPr="00FB0CE2" w:rsidRDefault="00FB0CE2" w:rsidP="00FB0CE2">
            <w:pPr>
              <w:autoSpaceDE w:val="0"/>
              <w:autoSpaceDN w:val="0"/>
              <w:adjustRightInd w:val="0"/>
              <w:spacing w:after="0" w:line="276" w:lineRule="auto"/>
              <w:rPr>
                <w:rFonts w:ascii="Calibri" w:eastAsia="Calibri" w:hAnsi="Calibri" w:cs="Calibri"/>
                <w:color w:val="000000"/>
                <w:sz w:val="20"/>
                <w:szCs w:val="20"/>
              </w:rPr>
            </w:pPr>
            <w:r w:rsidRPr="00FB0CE2">
              <w:rPr>
                <w:rFonts w:ascii="Calibri" w:eastAsia="Calibri" w:hAnsi="Calibri" w:cs="Calibri"/>
                <w:color w:val="000000"/>
                <w:sz w:val="20"/>
                <w:szCs w:val="20"/>
              </w:rPr>
              <w:t xml:space="preserve">˂ 0,02 mg / l </w:t>
            </w:r>
          </w:p>
        </w:tc>
      </w:tr>
      <w:tr w:rsidR="00FB0CE2" w:rsidRPr="00FB0CE2" w14:paraId="5609AD3D" w14:textId="77777777" w:rsidTr="00477D1F">
        <w:trPr>
          <w:trHeight w:val="103"/>
        </w:trPr>
        <w:tc>
          <w:tcPr>
            <w:tcW w:w="2500" w:type="pct"/>
          </w:tcPr>
          <w:p w14:paraId="5FB8CFDC" w14:textId="77777777" w:rsidR="00FB0CE2" w:rsidRPr="00FB0CE2" w:rsidRDefault="00FB0CE2" w:rsidP="00FB0CE2">
            <w:pPr>
              <w:autoSpaceDE w:val="0"/>
              <w:autoSpaceDN w:val="0"/>
              <w:adjustRightInd w:val="0"/>
              <w:spacing w:after="0" w:line="276" w:lineRule="auto"/>
              <w:rPr>
                <w:rFonts w:ascii="Calibri" w:eastAsia="Calibri" w:hAnsi="Calibri" w:cs="Calibri"/>
                <w:color w:val="000000"/>
                <w:sz w:val="20"/>
                <w:szCs w:val="20"/>
              </w:rPr>
            </w:pPr>
            <w:r w:rsidRPr="00FB0CE2">
              <w:rPr>
                <w:rFonts w:ascii="Calibri" w:eastAsia="Calibri" w:hAnsi="Calibri" w:cs="Calibri"/>
                <w:color w:val="000000"/>
                <w:sz w:val="20"/>
                <w:szCs w:val="20"/>
              </w:rPr>
              <w:t xml:space="preserve">Zawartość wilgoci w odwodnionym osadzie ściekowym </w:t>
            </w:r>
          </w:p>
        </w:tc>
        <w:tc>
          <w:tcPr>
            <w:tcW w:w="2500" w:type="pct"/>
          </w:tcPr>
          <w:p w14:paraId="500B214F" w14:textId="77777777" w:rsidR="00FB0CE2" w:rsidRPr="00FB0CE2" w:rsidRDefault="00FB0CE2" w:rsidP="00FB0CE2">
            <w:pPr>
              <w:autoSpaceDE w:val="0"/>
              <w:autoSpaceDN w:val="0"/>
              <w:adjustRightInd w:val="0"/>
              <w:spacing w:after="0" w:line="276" w:lineRule="auto"/>
              <w:rPr>
                <w:rFonts w:ascii="Calibri" w:eastAsia="Calibri" w:hAnsi="Calibri" w:cs="Calibri"/>
                <w:color w:val="000000"/>
                <w:sz w:val="20"/>
                <w:szCs w:val="20"/>
              </w:rPr>
            </w:pPr>
            <w:r w:rsidRPr="00FB0CE2">
              <w:rPr>
                <w:rFonts w:ascii="Calibri" w:eastAsia="Calibri" w:hAnsi="Calibri" w:cs="Calibri"/>
                <w:color w:val="000000"/>
                <w:sz w:val="20"/>
                <w:szCs w:val="20"/>
              </w:rPr>
              <w:t xml:space="preserve">0 – 50 % </w:t>
            </w:r>
          </w:p>
        </w:tc>
      </w:tr>
    </w:tbl>
    <w:p w14:paraId="4C47D952" w14:textId="77777777" w:rsidR="00FB0CE2" w:rsidRPr="00FB0CE2" w:rsidRDefault="00FB0CE2" w:rsidP="00FB0CE2">
      <w:pPr>
        <w:autoSpaceDE w:val="0"/>
        <w:autoSpaceDN w:val="0"/>
        <w:adjustRightInd w:val="0"/>
        <w:spacing w:after="0" w:line="276" w:lineRule="auto"/>
        <w:jc w:val="both"/>
        <w:rPr>
          <w:rFonts w:ascii="Calibri" w:eastAsia="Calibri" w:hAnsi="Calibri" w:cs="Times New Roman"/>
          <w:sz w:val="20"/>
        </w:rPr>
      </w:pPr>
    </w:p>
    <w:p w14:paraId="7B6908A9" w14:textId="77777777" w:rsidR="00FB0CE2" w:rsidRPr="00FB0CE2" w:rsidRDefault="00FB0CE2" w:rsidP="00FB0CE2">
      <w:pPr>
        <w:spacing w:after="0" w:line="276" w:lineRule="auto"/>
        <w:jc w:val="right"/>
        <w:rPr>
          <w:rFonts w:ascii="Calibri" w:eastAsia="Calibri" w:hAnsi="Calibri" w:cs="Times New Roman"/>
          <w:b/>
          <w:sz w:val="20"/>
        </w:rPr>
      </w:pPr>
    </w:p>
    <w:p w14:paraId="077E2E7D" w14:textId="77777777" w:rsidR="00FB0CE2" w:rsidRPr="00FB0CE2" w:rsidRDefault="00FB0CE2" w:rsidP="00FB0CE2">
      <w:pPr>
        <w:spacing w:after="0" w:line="276" w:lineRule="auto"/>
        <w:rPr>
          <w:rFonts w:ascii="Calibri" w:eastAsia="Calibri" w:hAnsi="Calibri" w:cs="Times New Roman"/>
          <w:b/>
          <w:color w:val="FF0000"/>
        </w:rPr>
      </w:pPr>
    </w:p>
    <w:p w14:paraId="0ECA24E4" w14:textId="77777777" w:rsidR="00FB0CE2" w:rsidRPr="00FB0CE2" w:rsidRDefault="00FB0CE2" w:rsidP="00FB0CE2">
      <w:pPr>
        <w:spacing w:after="0" w:line="276" w:lineRule="auto"/>
        <w:rPr>
          <w:rFonts w:ascii="Calibri" w:eastAsia="Calibri" w:hAnsi="Calibri" w:cs="Times New Roman"/>
          <w:b/>
          <w:color w:val="FF0000"/>
        </w:rPr>
      </w:pPr>
    </w:p>
    <w:p w14:paraId="7BF5EA22" w14:textId="77777777" w:rsidR="00FB0CE2" w:rsidRPr="00FB0CE2" w:rsidRDefault="00FB0CE2" w:rsidP="00FB0CE2">
      <w:pPr>
        <w:spacing w:after="0" w:line="276" w:lineRule="auto"/>
        <w:rPr>
          <w:rFonts w:ascii="Calibri" w:eastAsia="Calibri" w:hAnsi="Calibri" w:cs="Calibri"/>
          <w:b/>
          <w:color w:val="FF0000"/>
        </w:rPr>
      </w:pPr>
    </w:p>
    <w:p w14:paraId="24241A1B" w14:textId="72F59B32" w:rsidR="00FB0CE2" w:rsidRPr="004A581B" w:rsidRDefault="004A581B" w:rsidP="00FB0CE2">
      <w:pPr>
        <w:spacing w:after="0" w:line="276" w:lineRule="auto"/>
        <w:rPr>
          <w:rFonts w:ascii="Calibri" w:eastAsia="Calibri" w:hAnsi="Calibri" w:cs="Calibri"/>
          <w:b/>
        </w:rPr>
      </w:pPr>
      <w:r w:rsidRPr="004A581B">
        <w:rPr>
          <w:rFonts w:ascii="Calibri" w:eastAsia="Calibri" w:hAnsi="Calibri" w:cs="Calibri"/>
          <w:b/>
        </w:rPr>
        <w:t>Załącznik nr 1 – projektowane postanowienia Umowy</w:t>
      </w:r>
    </w:p>
    <w:p w14:paraId="180A4C1D" w14:textId="77777777" w:rsidR="00FB0CE2" w:rsidRPr="00FB0CE2" w:rsidRDefault="00FB0CE2" w:rsidP="00FB0CE2">
      <w:pPr>
        <w:spacing w:after="0" w:line="276" w:lineRule="auto"/>
        <w:rPr>
          <w:rFonts w:ascii="Calibri" w:eastAsia="Calibri" w:hAnsi="Calibri" w:cs="Calibri"/>
          <w:b/>
          <w:color w:val="FF0000"/>
        </w:rPr>
      </w:pPr>
    </w:p>
    <w:p w14:paraId="5E16A0E4" w14:textId="77777777" w:rsidR="00FB0CE2" w:rsidRPr="00FB0CE2" w:rsidRDefault="00FB0CE2" w:rsidP="00FB0CE2">
      <w:pPr>
        <w:spacing w:after="0" w:line="276" w:lineRule="auto"/>
        <w:rPr>
          <w:rFonts w:ascii="Calibri" w:eastAsia="Calibri" w:hAnsi="Calibri" w:cs="Calibri"/>
          <w:b/>
          <w:color w:val="FF0000"/>
        </w:rPr>
      </w:pPr>
    </w:p>
    <w:p w14:paraId="2527390D" w14:textId="77777777" w:rsidR="00FB0CE2" w:rsidRPr="00FB0CE2" w:rsidRDefault="00FB0CE2" w:rsidP="00FB0CE2">
      <w:pPr>
        <w:spacing w:after="0" w:line="276" w:lineRule="auto"/>
        <w:rPr>
          <w:rFonts w:ascii="Calibri" w:eastAsia="Calibri" w:hAnsi="Calibri" w:cs="Calibri"/>
          <w:b/>
          <w:color w:val="FF0000"/>
        </w:rPr>
      </w:pPr>
    </w:p>
    <w:p w14:paraId="6CC4629D" w14:textId="77777777" w:rsidR="00FB0CE2" w:rsidRPr="00FB0CE2" w:rsidRDefault="00FB0CE2" w:rsidP="00FB0CE2">
      <w:pPr>
        <w:spacing w:after="0" w:line="276" w:lineRule="auto"/>
        <w:rPr>
          <w:rFonts w:ascii="Calibri" w:eastAsia="Calibri" w:hAnsi="Calibri" w:cs="Calibri"/>
          <w:b/>
          <w:color w:val="FF0000"/>
        </w:rPr>
      </w:pPr>
    </w:p>
    <w:p w14:paraId="45081865" w14:textId="77777777" w:rsidR="00FB0CE2" w:rsidRPr="00FB0CE2" w:rsidRDefault="00FB0CE2" w:rsidP="00FB0CE2">
      <w:pPr>
        <w:spacing w:after="0" w:line="276" w:lineRule="auto"/>
        <w:rPr>
          <w:rFonts w:ascii="Calibri" w:eastAsia="Calibri" w:hAnsi="Calibri" w:cs="Calibri"/>
          <w:b/>
          <w:color w:val="FF0000"/>
        </w:rPr>
      </w:pPr>
    </w:p>
    <w:p w14:paraId="629CC22A" w14:textId="77777777" w:rsidR="00FB0CE2" w:rsidRPr="00FB0CE2" w:rsidRDefault="00FB0CE2" w:rsidP="00FB0CE2">
      <w:pPr>
        <w:spacing w:after="0" w:line="276" w:lineRule="auto"/>
        <w:rPr>
          <w:rFonts w:ascii="Calibri" w:eastAsia="Calibri" w:hAnsi="Calibri" w:cs="Calibri"/>
          <w:b/>
          <w:color w:val="FF0000"/>
        </w:rPr>
      </w:pPr>
    </w:p>
    <w:p w14:paraId="32D1BF8B" w14:textId="77777777" w:rsidR="00FB0CE2" w:rsidRPr="00FB0CE2" w:rsidRDefault="00FB0CE2" w:rsidP="00FB0CE2">
      <w:pPr>
        <w:spacing w:after="0" w:line="276" w:lineRule="auto"/>
        <w:rPr>
          <w:rFonts w:ascii="Calibri" w:eastAsia="Calibri" w:hAnsi="Calibri" w:cs="Calibri"/>
          <w:b/>
          <w:color w:val="FF0000"/>
        </w:rPr>
      </w:pPr>
    </w:p>
    <w:p w14:paraId="33ADFBC2" w14:textId="77777777" w:rsidR="00FB0CE2" w:rsidRPr="00FB0CE2" w:rsidRDefault="00FB0CE2" w:rsidP="00FB0CE2">
      <w:pPr>
        <w:spacing w:after="0" w:line="276" w:lineRule="auto"/>
        <w:rPr>
          <w:rFonts w:ascii="Calibri" w:eastAsia="Calibri" w:hAnsi="Calibri" w:cs="Calibri"/>
          <w:b/>
          <w:color w:val="FF0000"/>
        </w:rPr>
      </w:pPr>
    </w:p>
    <w:p w14:paraId="34A00729" w14:textId="77777777" w:rsidR="00FB0CE2" w:rsidRPr="00FB0CE2" w:rsidRDefault="00FB0CE2" w:rsidP="00FB0CE2">
      <w:pPr>
        <w:spacing w:after="0" w:line="276" w:lineRule="auto"/>
        <w:rPr>
          <w:rFonts w:ascii="Calibri" w:eastAsia="Calibri" w:hAnsi="Calibri" w:cs="Calibri"/>
          <w:b/>
          <w:color w:val="FF0000"/>
        </w:rPr>
      </w:pPr>
    </w:p>
    <w:p w14:paraId="7A3F86E2" w14:textId="77777777" w:rsidR="00FB0CE2" w:rsidRPr="00FB0CE2" w:rsidRDefault="00FB0CE2" w:rsidP="00FB0CE2">
      <w:pPr>
        <w:spacing w:after="0" w:line="276" w:lineRule="auto"/>
        <w:rPr>
          <w:rFonts w:ascii="Calibri" w:eastAsia="Calibri" w:hAnsi="Calibri" w:cs="Calibri"/>
          <w:b/>
          <w:color w:val="FF0000"/>
        </w:rPr>
      </w:pPr>
    </w:p>
    <w:p w14:paraId="722687E1" w14:textId="77777777" w:rsidR="00FB0CE2" w:rsidRPr="00FB0CE2" w:rsidRDefault="00FB0CE2" w:rsidP="00FB0CE2">
      <w:pPr>
        <w:spacing w:after="0" w:line="276" w:lineRule="auto"/>
        <w:rPr>
          <w:rFonts w:ascii="Calibri" w:eastAsia="Calibri" w:hAnsi="Calibri" w:cs="Calibri"/>
          <w:b/>
          <w:color w:val="FF0000"/>
        </w:rPr>
      </w:pPr>
    </w:p>
    <w:p w14:paraId="4B37C5A3" w14:textId="77777777" w:rsidR="00FB0CE2" w:rsidRPr="00FB0CE2" w:rsidRDefault="00FB0CE2" w:rsidP="00FB0CE2">
      <w:pPr>
        <w:spacing w:after="0" w:line="276" w:lineRule="auto"/>
        <w:rPr>
          <w:rFonts w:ascii="Calibri" w:eastAsia="Calibri" w:hAnsi="Calibri" w:cs="Calibri"/>
          <w:b/>
          <w:color w:val="FF0000"/>
        </w:rPr>
      </w:pPr>
    </w:p>
    <w:p w14:paraId="35A5E4A5" w14:textId="77777777" w:rsidR="00FB0CE2" w:rsidRPr="00FB0CE2" w:rsidRDefault="00FB0CE2" w:rsidP="00FB0CE2">
      <w:pPr>
        <w:spacing w:after="0" w:line="276" w:lineRule="auto"/>
        <w:rPr>
          <w:rFonts w:ascii="Calibri" w:eastAsia="Calibri" w:hAnsi="Calibri" w:cs="Calibri"/>
          <w:b/>
          <w:color w:val="FF0000"/>
        </w:rPr>
      </w:pPr>
    </w:p>
    <w:p w14:paraId="696E1556" w14:textId="38414D08" w:rsidR="00481CAE" w:rsidRPr="00CB3EBB" w:rsidRDefault="00481CAE" w:rsidP="00FB0CE2">
      <w:pPr>
        <w:spacing w:after="0" w:line="360" w:lineRule="auto"/>
        <w:rPr>
          <w:rFonts w:cstheme="minorHAnsi"/>
          <w:b/>
          <w:bCs/>
          <w:sz w:val="28"/>
          <w:szCs w:val="28"/>
        </w:rPr>
      </w:pPr>
    </w:p>
    <w:sectPr w:rsidR="00481CAE" w:rsidRPr="00CB3EBB" w:rsidSect="00FB0CE2">
      <w:pgSz w:w="11906" w:h="16838"/>
      <w:pgMar w:top="1276" w:right="1274"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7E7EC" w14:textId="77777777" w:rsidR="008C222A" w:rsidRDefault="008C222A" w:rsidP="0000171D">
      <w:pPr>
        <w:spacing w:after="0" w:line="240" w:lineRule="auto"/>
      </w:pPr>
      <w:r>
        <w:separator/>
      </w:r>
    </w:p>
  </w:endnote>
  <w:endnote w:type="continuationSeparator" w:id="0">
    <w:p w14:paraId="5DE249F2" w14:textId="77777777" w:rsidR="008C222A" w:rsidRDefault="008C222A" w:rsidP="0000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0BBA5" w14:textId="77777777" w:rsidR="008C222A" w:rsidRDefault="008C222A" w:rsidP="0000171D">
      <w:pPr>
        <w:spacing w:after="0" w:line="240" w:lineRule="auto"/>
      </w:pPr>
      <w:r>
        <w:separator/>
      </w:r>
    </w:p>
  </w:footnote>
  <w:footnote w:type="continuationSeparator" w:id="0">
    <w:p w14:paraId="6AB9EAAB" w14:textId="77777777" w:rsidR="008C222A" w:rsidRDefault="008C222A" w:rsidP="000017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2852DC"/>
    <w:multiLevelType w:val="hybridMultilevel"/>
    <w:tmpl w:val="28965BBA"/>
    <w:lvl w:ilvl="0" w:tplc="753841CC">
      <w:start w:val="1"/>
      <w:numFmt w:val="lowerLetter"/>
      <w:lvlText w:val="%1)"/>
      <w:lvlJc w:val="left"/>
      <w:rPr>
        <w:rFonts w:asciiTheme="minorHAnsi" w:eastAsiaTheme="minorHAnsi" w:hAnsiTheme="minorHAnsi" w:cstheme="minorHAns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E4E61"/>
    <w:multiLevelType w:val="hybridMultilevel"/>
    <w:tmpl w:val="33466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6C1B65"/>
    <w:multiLevelType w:val="multilevel"/>
    <w:tmpl w:val="605E81E4"/>
    <w:lvl w:ilvl="0">
      <w:start w:val="1"/>
      <w:numFmt w:val="decimal"/>
      <w:lvlText w:val="%1."/>
      <w:lvlJc w:val="left"/>
      <w:pPr>
        <w:ind w:left="720" w:hanging="360"/>
      </w:pPr>
    </w:lvl>
    <w:lvl w:ilvl="1">
      <w:start w:val="1"/>
      <w:numFmt w:val="decimal"/>
      <w:isLgl/>
      <w:lvlText w:val="%1.%2"/>
      <w:lvlJc w:val="left"/>
      <w:pPr>
        <w:ind w:left="930" w:hanging="57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4847437"/>
    <w:multiLevelType w:val="hybridMultilevel"/>
    <w:tmpl w:val="681442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9D7E1A"/>
    <w:multiLevelType w:val="hybridMultilevel"/>
    <w:tmpl w:val="EE7C90CA"/>
    <w:lvl w:ilvl="0" w:tplc="E350170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067A1E7B"/>
    <w:multiLevelType w:val="multilevel"/>
    <w:tmpl w:val="D8EC68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06BC7906"/>
    <w:multiLevelType w:val="hybridMultilevel"/>
    <w:tmpl w:val="7DACC294"/>
    <w:lvl w:ilvl="0" w:tplc="EFC4D65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6EE09C8"/>
    <w:multiLevelType w:val="hybridMultilevel"/>
    <w:tmpl w:val="84ECDB0C"/>
    <w:lvl w:ilvl="0" w:tplc="6B0C49BE">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7341BE"/>
    <w:multiLevelType w:val="multilevel"/>
    <w:tmpl w:val="8A04648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D2873F7"/>
    <w:multiLevelType w:val="multilevel"/>
    <w:tmpl w:val="2D1ABD2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15:restartNumberingAfterBreak="0">
    <w:nsid w:val="0E951330"/>
    <w:multiLevelType w:val="hybridMultilevel"/>
    <w:tmpl w:val="82F205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537449"/>
    <w:multiLevelType w:val="hybridMultilevel"/>
    <w:tmpl w:val="E10884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4E488F"/>
    <w:multiLevelType w:val="hybridMultilevel"/>
    <w:tmpl w:val="205CAF9A"/>
    <w:lvl w:ilvl="0" w:tplc="FFFFFFFF">
      <w:start w:val="1"/>
      <w:numFmt w:val="bullet"/>
      <w:lvlText w:val=""/>
      <w:lvlJc w:val="left"/>
      <w:pPr>
        <w:ind w:left="720" w:hanging="360"/>
      </w:pPr>
      <w:rPr>
        <w:rFonts w:ascii="Symbol" w:hAnsi="Symbol" w:hint="default"/>
      </w:rPr>
    </w:lvl>
    <w:lvl w:ilvl="1" w:tplc="A2E240C2">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01307C"/>
    <w:multiLevelType w:val="hybridMultilevel"/>
    <w:tmpl w:val="4EE63F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0812E8"/>
    <w:multiLevelType w:val="hybridMultilevel"/>
    <w:tmpl w:val="107A9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826720"/>
    <w:multiLevelType w:val="hybridMultilevel"/>
    <w:tmpl w:val="E7703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3D26742"/>
    <w:multiLevelType w:val="hybridMultilevel"/>
    <w:tmpl w:val="5010E7B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6D87851"/>
    <w:multiLevelType w:val="hybridMultilevel"/>
    <w:tmpl w:val="D898F058"/>
    <w:lvl w:ilvl="0" w:tplc="2A429804">
      <w:start w:val="1"/>
      <w:numFmt w:val="decimal"/>
      <w:lvlText w:val="%1."/>
      <w:lvlJc w:val="left"/>
      <w:rPr>
        <w:rFonts w:asciiTheme="minorHAnsi" w:eastAsiaTheme="minorHAnsi" w:hAnsiTheme="minorHAnsi" w:cstheme="minorHAnsi"/>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70363CC"/>
    <w:multiLevelType w:val="hybridMultilevel"/>
    <w:tmpl w:val="C8EC7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382965"/>
    <w:multiLevelType w:val="hybridMultilevel"/>
    <w:tmpl w:val="8F7E474A"/>
    <w:lvl w:ilvl="0" w:tplc="E3501708">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0451288"/>
    <w:multiLevelType w:val="hybridMultilevel"/>
    <w:tmpl w:val="21A8A5F6"/>
    <w:lvl w:ilvl="0" w:tplc="A2E240C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57E694F"/>
    <w:multiLevelType w:val="multilevel"/>
    <w:tmpl w:val="B80AFE3A"/>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35A239EE"/>
    <w:multiLevelType w:val="hybridMultilevel"/>
    <w:tmpl w:val="621055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626026C"/>
    <w:multiLevelType w:val="hybridMultilevel"/>
    <w:tmpl w:val="9AE61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7DF315D"/>
    <w:multiLevelType w:val="hybridMultilevel"/>
    <w:tmpl w:val="FDD2F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9B1D28"/>
    <w:multiLevelType w:val="multilevel"/>
    <w:tmpl w:val="D2046A96"/>
    <w:lvl w:ilvl="0">
      <w:start w:val="1"/>
      <w:numFmt w:val="decimal"/>
      <w:lvlText w:val="%1."/>
      <w:lvlJc w:val="left"/>
      <w:pPr>
        <w:ind w:left="720" w:hanging="360"/>
      </w:pPr>
      <w:rPr>
        <w:rFonts w:hint="default"/>
        <w:b/>
      </w:rPr>
    </w:lvl>
    <w:lvl w:ilvl="1">
      <w:start w:val="1"/>
      <w:numFmt w:val="ordinal"/>
      <w:lvlText w:val="2.%2"/>
      <w:lvlJc w:val="left"/>
      <w:pPr>
        <w:ind w:left="1080" w:hanging="360"/>
      </w:pPr>
      <w:rPr>
        <w:rFonts w:hint="default"/>
        <w:b/>
        <w:bCs/>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6" w15:restartNumberingAfterBreak="0">
    <w:nsid w:val="39E30575"/>
    <w:multiLevelType w:val="multilevel"/>
    <w:tmpl w:val="E8325B78"/>
    <w:lvl w:ilvl="0">
      <w:start w:val="1"/>
      <w:numFmt w:val="decimal"/>
      <w:lvlText w:val="%1."/>
      <w:lvlJc w:val="left"/>
      <w:pPr>
        <w:ind w:left="720" w:hanging="360"/>
      </w:pPr>
    </w:lvl>
    <w:lvl w:ilvl="1">
      <w:start w:val="1"/>
      <w:numFmt w:val="decimal"/>
      <w:isLgl/>
      <w:lvlText w:val="%1.%2"/>
      <w:lvlJc w:val="left"/>
      <w:pPr>
        <w:ind w:left="930" w:hanging="57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3E603C50"/>
    <w:multiLevelType w:val="hybridMultilevel"/>
    <w:tmpl w:val="32147B4E"/>
    <w:lvl w:ilvl="0" w:tplc="B70E3F90">
      <w:start w:val="1"/>
      <w:numFmt w:val="decimal"/>
      <w:lvlText w:val="%1.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32764DE"/>
    <w:multiLevelType w:val="hybridMultilevel"/>
    <w:tmpl w:val="E098A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701EE4"/>
    <w:multiLevelType w:val="hybridMultilevel"/>
    <w:tmpl w:val="555AB9A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6CD701A"/>
    <w:multiLevelType w:val="hybridMultilevel"/>
    <w:tmpl w:val="B61E4A44"/>
    <w:lvl w:ilvl="0" w:tplc="0415000B">
      <w:start w:val="1"/>
      <w:numFmt w:val="bullet"/>
      <w:lvlText w:val=""/>
      <w:lvlJc w:val="left"/>
      <w:pPr>
        <w:ind w:left="949" w:hanging="360"/>
      </w:pPr>
      <w:rPr>
        <w:rFonts w:ascii="Wingdings" w:hAnsi="Wingdings" w:hint="default"/>
      </w:rPr>
    </w:lvl>
    <w:lvl w:ilvl="1" w:tplc="04150003" w:tentative="1">
      <w:start w:val="1"/>
      <w:numFmt w:val="bullet"/>
      <w:lvlText w:val="o"/>
      <w:lvlJc w:val="left"/>
      <w:pPr>
        <w:ind w:left="1669" w:hanging="360"/>
      </w:pPr>
      <w:rPr>
        <w:rFonts w:ascii="Courier New" w:hAnsi="Courier New" w:cs="Courier New" w:hint="default"/>
      </w:rPr>
    </w:lvl>
    <w:lvl w:ilvl="2" w:tplc="04150005" w:tentative="1">
      <w:start w:val="1"/>
      <w:numFmt w:val="bullet"/>
      <w:lvlText w:val=""/>
      <w:lvlJc w:val="left"/>
      <w:pPr>
        <w:ind w:left="2389" w:hanging="360"/>
      </w:pPr>
      <w:rPr>
        <w:rFonts w:ascii="Wingdings" w:hAnsi="Wingdings" w:hint="default"/>
      </w:rPr>
    </w:lvl>
    <w:lvl w:ilvl="3" w:tplc="04150001" w:tentative="1">
      <w:start w:val="1"/>
      <w:numFmt w:val="bullet"/>
      <w:lvlText w:val=""/>
      <w:lvlJc w:val="left"/>
      <w:pPr>
        <w:ind w:left="3109" w:hanging="360"/>
      </w:pPr>
      <w:rPr>
        <w:rFonts w:ascii="Symbol" w:hAnsi="Symbol" w:hint="default"/>
      </w:rPr>
    </w:lvl>
    <w:lvl w:ilvl="4" w:tplc="04150003" w:tentative="1">
      <w:start w:val="1"/>
      <w:numFmt w:val="bullet"/>
      <w:lvlText w:val="o"/>
      <w:lvlJc w:val="left"/>
      <w:pPr>
        <w:ind w:left="3829" w:hanging="360"/>
      </w:pPr>
      <w:rPr>
        <w:rFonts w:ascii="Courier New" w:hAnsi="Courier New" w:cs="Courier New" w:hint="default"/>
      </w:rPr>
    </w:lvl>
    <w:lvl w:ilvl="5" w:tplc="04150005" w:tentative="1">
      <w:start w:val="1"/>
      <w:numFmt w:val="bullet"/>
      <w:lvlText w:val=""/>
      <w:lvlJc w:val="left"/>
      <w:pPr>
        <w:ind w:left="4549" w:hanging="360"/>
      </w:pPr>
      <w:rPr>
        <w:rFonts w:ascii="Wingdings" w:hAnsi="Wingdings" w:hint="default"/>
      </w:rPr>
    </w:lvl>
    <w:lvl w:ilvl="6" w:tplc="04150001" w:tentative="1">
      <w:start w:val="1"/>
      <w:numFmt w:val="bullet"/>
      <w:lvlText w:val=""/>
      <w:lvlJc w:val="left"/>
      <w:pPr>
        <w:ind w:left="5269" w:hanging="360"/>
      </w:pPr>
      <w:rPr>
        <w:rFonts w:ascii="Symbol" w:hAnsi="Symbol" w:hint="default"/>
      </w:rPr>
    </w:lvl>
    <w:lvl w:ilvl="7" w:tplc="04150003" w:tentative="1">
      <w:start w:val="1"/>
      <w:numFmt w:val="bullet"/>
      <w:lvlText w:val="o"/>
      <w:lvlJc w:val="left"/>
      <w:pPr>
        <w:ind w:left="5989" w:hanging="360"/>
      </w:pPr>
      <w:rPr>
        <w:rFonts w:ascii="Courier New" w:hAnsi="Courier New" w:cs="Courier New" w:hint="default"/>
      </w:rPr>
    </w:lvl>
    <w:lvl w:ilvl="8" w:tplc="04150005" w:tentative="1">
      <w:start w:val="1"/>
      <w:numFmt w:val="bullet"/>
      <w:lvlText w:val=""/>
      <w:lvlJc w:val="left"/>
      <w:pPr>
        <w:ind w:left="6709" w:hanging="360"/>
      </w:pPr>
      <w:rPr>
        <w:rFonts w:ascii="Wingdings" w:hAnsi="Wingdings" w:hint="default"/>
      </w:rPr>
    </w:lvl>
  </w:abstractNum>
  <w:abstractNum w:abstractNumId="31" w15:restartNumberingAfterBreak="0">
    <w:nsid w:val="48412B03"/>
    <w:multiLevelType w:val="multilevel"/>
    <w:tmpl w:val="0418731E"/>
    <w:lvl w:ilvl="0">
      <w:start w:val="1"/>
      <w:numFmt w:val="decimal"/>
      <w:pStyle w:val="Wyliczany"/>
      <w:lvlText w:val="%1)"/>
      <w:lvlJc w:val="left"/>
      <w:pPr>
        <w:ind w:left="360" w:hanging="360"/>
      </w:pPr>
      <w:rPr>
        <w:strike w:val="0"/>
      </w:rPr>
    </w:lvl>
    <w:lvl w:ilvl="1">
      <w:start w:val="1"/>
      <w:numFmt w:val="lowerLetter"/>
      <w:lvlText w:val="%2)"/>
      <w:lvlJc w:val="left"/>
      <w:pPr>
        <w:ind w:left="644" w:hanging="360"/>
      </w:pPr>
      <w:rPr>
        <w:strike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D0F0DE1"/>
    <w:multiLevelType w:val="hybridMultilevel"/>
    <w:tmpl w:val="A4861B02"/>
    <w:lvl w:ilvl="0" w:tplc="FD0EC0F8">
      <w:numFmt w:val="bullet"/>
      <w:lvlText w:val=""/>
      <w:lvlJc w:val="left"/>
      <w:pPr>
        <w:ind w:left="720" w:hanging="360"/>
      </w:pPr>
      <w:rPr>
        <w:rFonts w:ascii="Symbol" w:eastAsia="Times New Roman"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D82269D"/>
    <w:multiLevelType w:val="hybridMultilevel"/>
    <w:tmpl w:val="A0B0F0B6"/>
    <w:lvl w:ilvl="0" w:tplc="6D48E4B6">
      <w:start w:val="3"/>
      <w:numFmt w:val="bullet"/>
      <w:lvlText w:val=""/>
      <w:lvlJc w:val="left"/>
      <w:pPr>
        <w:ind w:left="720" w:hanging="360"/>
      </w:pPr>
      <w:rPr>
        <w:rFonts w:ascii="Symbol" w:eastAsia="Times New Roman"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1614996"/>
    <w:multiLevelType w:val="hybridMultilevel"/>
    <w:tmpl w:val="DA0C792C"/>
    <w:lvl w:ilvl="0" w:tplc="1BB68A36">
      <w:numFmt w:val="bullet"/>
      <w:lvlText w:val=""/>
      <w:lvlJc w:val="left"/>
      <w:pPr>
        <w:ind w:left="720" w:hanging="360"/>
      </w:pPr>
      <w:rPr>
        <w:rFonts w:ascii="Symbol" w:eastAsia="Times New Roman"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1DC22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E786D3D"/>
    <w:multiLevelType w:val="hybridMultilevel"/>
    <w:tmpl w:val="324AD1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0E27713"/>
    <w:multiLevelType w:val="hybridMultilevel"/>
    <w:tmpl w:val="BA76CA24"/>
    <w:lvl w:ilvl="0" w:tplc="1AF46684">
      <w:start w:val="1"/>
      <w:numFmt w:val="decimal"/>
      <w:lvlText w:val="%1.1"/>
      <w:lvlJc w:val="left"/>
      <w:pPr>
        <w:ind w:left="927"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3567B9"/>
    <w:multiLevelType w:val="hybridMultilevel"/>
    <w:tmpl w:val="D6FE66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1862595"/>
    <w:multiLevelType w:val="hybridMultilevel"/>
    <w:tmpl w:val="53C8A6EA"/>
    <w:lvl w:ilvl="0" w:tplc="04150011">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1B35802"/>
    <w:multiLevelType w:val="hybridMultilevel"/>
    <w:tmpl w:val="7CF2D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28F5318"/>
    <w:multiLevelType w:val="multilevel"/>
    <w:tmpl w:val="C38C68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4380256"/>
    <w:multiLevelType w:val="hybridMultilevel"/>
    <w:tmpl w:val="8BEA0F8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658B5FE8"/>
    <w:multiLevelType w:val="hybridMultilevel"/>
    <w:tmpl w:val="5A9EE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CC74D6"/>
    <w:multiLevelType w:val="hybridMultilevel"/>
    <w:tmpl w:val="10A02FD0"/>
    <w:lvl w:ilvl="0" w:tplc="C04482F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B130871"/>
    <w:multiLevelType w:val="hybridMultilevel"/>
    <w:tmpl w:val="A96042AA"/>
    <w:lvl w:ilvl="0" w:tplc="B97663F2">
      <w:start w:val="3"/>
      <w:numFmt w:val="bullet"/>
      <w:lvlText w:val=""/>
      <w:lvlJc w:val="left"/>
      <w:pPr>
        <w:ind w:left="1080" w:hanging="360"/>
      </w:pPr>
      <w:rPr>
        <w:rFonts w:ascii="Symbol" w:eastAsia="Times New Roman" w:hAnsi="Symbol" w:cstheme="minorHAns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C140AAC"/>
    <w:multiLevelType w:val="multilevel"/>
    <w:tmpl w:val="D8EC68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47" w15:restartNumberingAfterBreak="0">
    <w:nsid w:val="6CA13ADF"/>
    <w:multiLevelType w:val="hybridMultilevel"/>
    <w:tmpl w:val="EE32B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DAD663C"/>
    <w:multiLevelType w:val="hybridMultilevel"/>
    <w:tmpl w:val="B5A6492E"/>
    <w:lvl w:ilvl="0" w:tplc="04150001">
      <w:start w:val="1"/>
      <w:numFmt w:val="bullet"/>
      <w:lvlText w:val=""/>
      <w:lvlJc w:val="left"/>
      <w:pPr>
        <w:ind w:left="1650" w:hanging="360"/>
      </w:pPr>
      <w:rPr>
        <w:rFonts w:ascii="Symbol" w:hAnsi="Symbol" w:hint="default"/>
      </w:rPr>
    </w:lvl>
    <w:lvl w:ilvl="1" w:tplc="04150003" w:tentative="1">
      <w:start w:val="1"/>
      <w:numFmt w:val="bullet"/>
      <w:lvlText w:val="o"/>
      <w:lvlJc w:val="left"/>
      <w:pPr>
        <w:ind w:left="2370" w:hanging="360"/>
      </w:pPr>
      <w:rPr>
        <w:rFonts w:ascii="Courier New" w:hAnsi="Courier New" w:cs="Courier New" w:hint="default"/>
      </w:rPr>
    </w:lvl>
    <w:lvl w:ilvl="2" w:tplc="04150005" w:tentative="1">
      <w:start w:val="1"/>
      <w:numFmt w:val="bullet"/>
      <w:lvlText w:val=""/>
      <w:lvlJc w:val="left"/>
      <w:pPr>
        <w:ind w:left="3090" w:hanging="360"/>
      </w:pPr>
      <w:rPr>
        <w:rFonts w:ascii="Wingdings" w:hAnsi="Wingdings" w:hint="default"/>
      </w:rPr>
    </w:lvl>
    <w:lvl w:ilvl="3" w:tplc="04150001" w:tentative="1">
      <w:start w:val="1"/>
      <w:numFmt w:val="bullet"/>
      <w:lvlText w:val=""/>
      <w:lvlJc w:val="left"/>
      <w:pPr>
        <w:ind w:left="3810" w:hanging="360"/>
      </w:pPr>
      <w:rPr>
        <w:rFonts w:ascii="Symbol" w:hAnsi="Symbol" w:hint="default"/>
      </w:rPr>
    </w:lvl>
    <w:lvl w:ilvl="4" w:tplc="04150003" w:tentative="1">
      <w:start w:val="1"/>
      <w:numFmt w:val="bullet"/>
      <w:lvlText w:val="o"/>
      <w:lvlJc w:val="left"/>
      <w:pPr>
        <w:ind w:left="4530" w:hanging="360"/>
      </w:pPr>
      <w:rPr>
        <w:rFonts w:ascii="Courier New" w:hAnsi="Courier New" w:cs="Courier New" w:hint="default"/>
      </w:rPr>
    </w:lvl>
    <w:lvl w:ilvl="5" w:tplc="04150005" w:tentative="1">
      <w:start w:val="1"/>
      <w:numFmt w:val="bullet"/>
      <w:lvlText w:val=""/>
      <w:lvlJc w:val="left"/>
      <w:pPr>
        <w:ind w:left="5250" w:hanging="360"/>
      </w:pPr>
      <w:rPr>
        <w:rFonts w:ascii="Wingdings" w:hAnsi="Wingdings" w:hint="default"/>
      </w:rPr>
    </w:lvl>
    <w:lvl w:ilvl="6" w:tplc="04150001" w:tentative="1">
      <w:start w:val="1"/>
      <w:numFmt w:val="bullet"/>
      <w:lvlText w:val=""/>
      <w:lvlJc w:val="left"/>
      <w:pPr>
        <w:ind w:left="5970" w:hanging="360"/>
      </w:pPr>
      <w:rPr>
        <w:rFonts w:ascii="Symbol" w:hAnsi="Symbol" w:hint="default"/>
      </w:rPr>
    </w:lvl>
    <w:lvl w:ilvl="7" w:tplc="04150003" w:tentative="1">
      <w:start w:val="1"/>
      <w:numFmt w:val="bullet"/>
      <w:lvlText w:val="o"/>
      <w:lvlJc w:val="left"/>
      <w:pPr>
        <w:ind w:left="6690" w:hanging="360"/>
      </w:pPr>
      <w:rPr>
        <w:rFonts w:ascii="Courier New" w:hAnsi="Courier New" w:cs="Courier New" w:hint="default"/>
      </w:rPr>
    </w:lvl>
    <w:lvl w:ilvl="8" w:tplc="04150005" w:tentative="1">
      <w:start w:val="1"/>
      <w:numFmt w:val="bullet"/>
      <w:lvlText w:val=""/>
      <w:lvlJc w:val="left"/>
      <w:pPr>
        <w:ind w:left="7410" w:hanging="360"/>
      </w:pPr>
      <w:rPr>
        <w:rFonts w:ascii="Wingdings" w:hAnsi="Wingdings" w:hint="default"/>
      </w:rPr>
    </w:lvl>
  </w:abstractNum>
  <w:abstractNum w:abstractNumId="49" w15:restartNumberingAfterBreak="0">
    <w:nsid w:val="6E557824"/>
    <w:multiLevelType w:val="hybridMultilevel"/>
    <w:tmpl w:val="937EE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2185A12"/>
    <w:multiLevelType w:val="hybridMultilevel"/>
    <w:tmpl w:val="D6FE661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52A2851"/>
    <w:multiLevelType w:val="multilevel"/>
    <w:tmpl w:val="D8EC68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52" w15:restartNumberingAfterBreak="0">
    <w:nsid w:val="78E0025E"/>
    <w:multiLevelType w:val="hybridMultilevel"/>
    <w:tmpl w:val="BF104FC6"/>
    <w:lvl w:ilvl="0" w:tplc="C82E2572">
      <w:start w:val="1"/>
      <w:numFmt w:val="decimal"/>
      <w:lvlText w:val="%1."/>
      <w:lvlJc w:val="left"/>
      <w:pPr>
        <w:ind w:left="720" w:hanging="360"/>
      </w:pPr>
    </w:lvl>
    <w:lvl w:ilvl="1" w:tplc="33BC1012">
      <w:start w:val="1"/>
      <w:numFmt w:val="lowerLetter"/>
      <w:lvlText w:val="%2."/>
      <w:lvlJc w:val="left"/>
      <w:pPr>
        <w:ind w:left="1440" w:hanging="360"/>
      </w:pPr>
    </w:lvl>
    <w:lvl w:ilvl="2" w:tplc="0415001B">
      <w:start w:val="1"/>
      <w:numFmt w:val="lowerRoman"/>
      <w:lvlText w:val="%3."/>
      <w:lvlJc w:val="righ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793529DE"/>
    <w:multiLevelType w:val="hybridMultilevel"/>
    <w:tmpl w:val="AE86E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B9C567A"/>
    <w:multiLevelType w:val="hybridMultilevel"/>
    <w:tmpl w:val="5010E7B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7C884FD5"/>
    <w:multiLevelType w:val="hybridMultilevel"/>
    <w:tmpl w:val="A6BAD1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D113E61"/>
    <w:multiLevelType w:val="hybridMultilevel"/>
    <w:tmpl w:val="B19EA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98090363">
    <w:abstractNumId w:val="52"/>
  </w:num>
  <w:num w:numId="2" w16cid:durableId="347216209">
    <w:abstractNumId w:val="52"/>
    <w:lvlOverride w:ilvl="0">
      <w:startOverride w:val="1"/>
    </w:lvlOverride>
  </w:num>
  <w:num w:numId="3" w16cid:durableId="1068576680">
    <w:abstractNumId w:val="16"/>
  </w:num>
  <w:num w:numId="4" w16cid:durableId="1027178177">
    <w:abstractNumId w:val="10"/>
  </w:num>
  <w:num w:numId="5" w16cid:durableId="2063170133">
    <w:abstractNumId w:val="52"/>
  </w:num>
  <w:num w:numId="6" w16cid:durableId="340553149">
    <w:abstractNumId w:val="22"/>
  </w:num>
  <w:num w:numId="7" w16cid:durableId="1065488790">
    <w:abstractNumId w:val="54"/>
  </w:num>
  <w:num w:numId="8" w16cid:durableId="845562078">
    <w:abstractNumId w:val="31"/>
  </w:num>
  <w:num w:numId="9" w16cid:durableId="986057440">
    <w:abstractNumId w:val="31"/>
  </w:num>
  <w:num w:numId="10" w16cid:durableId="1247038297">
    <w:abstractNumId w:val="35"/>
  </w:num>
  <w:num w:numId="11" w16cid:durableId="2053185973">
    <w:abstractNumId w:val="31"/>
  </w:num>
  <w:num w:numId="12" w16cid:durableId="921452056">
    <w:abstractNumId w:val="25"/>
  </w:num>
  <w:num w:numId="13" w16cid:durableId="1841584523">
    <w:abstractNumId w:val="8"/>
  </w:num>
  <w:num w:numId="14" w16cid:durableId="140658193">
    <w:abstractNumId w:val="41"/>
  </w:num>
  <w:num w:numId="15" w16cid:durableId="1283731685">
    <w:abstractNumId w:val="32"/>
  </w:num>
  <w:num w:numId="16" w16cid:durableId="1552300762">
    <w:abstractNumId w:val="34"/>
  </w:num>
  <w:num w:numId="17" w16cid:durableId="747731554">
    <w:abstractNumId w:val="9"/>
  </w:num>
  <w:num w:numId="18" w16cid:durableId="1237475238">
    <w:abstractNumId w:val="33"/>
  </w:num>
  <w:num w:numId="19" w16cid:durableId="1094323439">
    <w:abstractNumId w:val="45"/>
  </w:num>
  <w:num w:numId="20" w16cid:durableId="1268465498">
    <w:abstractNumId w:val="21"/>
  </w:num>
  <w:num w:numId="21" w16cid:durableId="1132946383">
    <w:abstractNumId w:val="7"/>
  </w:num>
  <w:num w:numId="22" w16cid:durableId="13466391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2157064">
    <w:abstractNumId w:val="31"/>
  </w:num>
  <w:num w:numId="24" w16cid:durableId="532812371">
    <w:abstractNumId w:val="26"/>
  </w:num>
  <w:num w:numId="25" w16cid:durableId="577134754">
    <w:abstractNumId w:val="2"/>
  </w:num>
  <w:num w:numId="26" w16cid:durableId="586111606">
    <w:abstractNumId w:val="20"/>
  </w:num>
  <w:num w:numId="27" w16cid:durableId="1274247546">
    <w:abstractNumId w:val="12"/>
  </w:num>
  <w:num w:numId="28" w16cid:durableId="356006956">
    <w:abstractNumId w:val="1"/>
  </w:num>
  <w:num w:numId="29" w16cid:durableId="457459568">
    <w:abstractNumId w:val="15"/>
  </w:num>
  <w:num w:numId="30" w16cid:durableId="1642802468">
    <w:abstractNumId w:val="18"/>
  </w:num>
  <w:num w:numId="31" w16cid:durableId="1839687793">
    <w:abstractNumId w:val="14"/>
  </w:num>
  <w:num w:numId="32" w16cid:durableId="2134399327">
    <w:abstractNumId w:val="53"/>
  </w:num>
  <w:num w:numId="33" w16cid:durableId="1644315150">
    <w:abstractNumId w:val="50"/>
  </w:num>
  <w:num w:numId="34" w16cid:durableId="1194267145">
    <w:abstractNumId w:val="5"/>
  </w:num>
  <w:num w:numId="35" w16cid:durableId="486752562">
    <w:abstractNumId w:val="11"/>
  </w:num>
  <w:num w:numId="36" w16cid:durableId="1627541547">
    <w:abstractNumId w:val="48"/>
  </w:num>
  <w:num w:numId="37" w16cid:durableId="1624312446">
    <w:abstractNumId w:val="56"/>
  </w:num>
  <w:num w:numId="38" w16cid:durableId="964389977">
    <w:abstractNumId w:val="40"/>
  </w:num>
  <w:num w:numId="39" w16cid:durableId="1883401874">
    <w:abstractNumId w:val="29"/>
  </w:num>
  <w:num w:numId="40" w16cid:durableId="950548960">
    <w:abstractNumId w:val="49"/>
  </w:num>
  <w:num w:numId="41" w16cid:durableId="32312225">
    <w:abstractNumId w:val="23"/>
  </w:num>
  <w:num w:numId="42" w16cid:durableId="1149633074">
    <w:abstractNumId w:val="43"/>
  </w:num>
  <w:num w:numId="43" w16cid:durableId="1436634061">
    <w:abstractNumId w:val="47"/>
  </w:num>
  <w:num w:numId="44" w16cid:durableId="1321932852">
    <w:abstractNumId w:val="42"/>
  </w:num>
  <w:num w:numId="45" w16cid:durableId="942106588">
    <w:abstractNumId w:val="55"/>
  </w:num>
  <w:num w:numId="46" w16cid:durableId="1105492054">
    <w:abstractNumId w:val="30"/>
  </w:num>
  <w:num w:numId="47" w16cid:durableId="1269700160">
    <w:abstractNumId w:val="3"/>
  </w:num>
  <w:num w:numId="48" w16cid:durableId="1431781930">
    <w:abstractNumId w:val="28"/>
  </w:num>
  <w:num w:numId="49" w16cid:durableId="194194175">
    <w:abstractNumId w:val="24"/>
  </w:num>
  <w:num w:numId="50" w16cid:durableId="931553330">
    <w:abstractNumId w:val="44"/>
  </w:num>
  <w:num w:numId="51" w16cid:durableId="884488136">
    <w:abstractNumId w:val="4"/>
  </w:num>
  <w:num w:numId="52" w16cid:durableId="1016805660">
    <w:abstractNumId w:val="37"/>
  </w:num>
  <w:num w:numId="53" w16cid:durableId="825167339">
    <w:abstractNumId w:val="19"/>
  </w:num>
  <w:num w:numId="54" w16cid:durableId="427653622">
    <w:abstractNumId w:val="27"/>
  </w:num>
  <w:num w:numId="55" w16cid:durableId="509636124">
    <w:abstractNumId w:val="36"/>
  </w:num>
  <w:num w:numId="56" w16cid:durableId="29500076">
    <w:abstractNumId w:val="51"/>
  </w:num>
  <w:num w:numId="57" w16cid:durableId="1766609101">
    <w:abstractNumId w:val="38"/>
  </w:num>
  <w:num w:numId="58" w16cid:durableId="334184812">
    <w:abstractNumId w:val="46"/>
  </w:num>
  <w:num w:numId="59" w16cid:durableId="952371245">
    <w:abstractNumId w:val="17"/>
  </w:num>
  <w:num w:numId="60" w16cid:durableId="255286668">
    <w:abstractNumId w:val="0"/>
  </w:num>
  <w:num w:numId="61" w16cid:durableId="85460756">
    <w:abstractNumId w:val="6"/>
  </w:num>
  <w:num w:numId="62" w16cid:durableId="1962152903">
    <w:abstractNumId w:val="13"/>
  </w:num>
  <w:num w:numId="63" w16cid:durableId="1714228867">
    <w:abstractNumId w:val="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M7Y0NDc1MLE0NzZS0lEKTi0uzszPAykwNK8FAAUwhygtAAAA"/>
  </w:docVars>
  <w:rsids>
    <w:rsidRoot w:val="0084388F"/>
    <w:rsid w:val="0000171D"/>
    <w:rsid w:val="000032CA"/>
    <w:rsid w:val="0000593C"/>
    <w:rsid w:val="000064A5"/>
    <w:rsid w:val="00006CA4"/>
    <w:rsid w:val="0000787A"/>
    <w:rsid w:val="00012227"/>
    <w:rsid w:val="000158D7"/>
    <w:rsid w:val="0001739D"/>
    <w:rsid w:val="00022140"/>
    <w:rsid w:val="00030D6D"/>
    <w:rsid w:val="000317FB"/>
    <w:rsid w:val="00031FF6"/>
    <w:rsid w:val="0003515D"/>
    <w:rsid w:val="000407CD"/>
    <w:rsid w:val="00040D49"/>
    <w:rsid w:val="00045A74"/>
    <w:rsid w:val="00046273"/>
    <w:rsid w:val="00054CC1"/>
    <w:rsid w:val="000551B3"/>
    <w:rsid w:val="00057489"/>
    <w:rsid w:val="00057D92"/>
    <w:rsid w:val="0006042B"/>
    <w:rsid w:val="0006519D"/>
    <w:rsid w:val="000656D8"/>
    <w:rsid w:val="00075AC2"/>
    <w:rsid w:val="00076443"/>
    <w:rsid w:val="00085DE9"/>
    <w:rsid w:val="000935DA"/>
    <w:rsid w:val="000A08BB"/>
    <w:rsid w:val="000A1F0D"/>
    <w:rsid w:val="000A49F5"/>
    <w:rsid w:val="000B31AD"/>
    <w:rsid w:val="000B45B3"/>
    <w:rsid w:val="000B4B56"/>
    <w:rsid w:val="000B71F5"/>
    <w:rsid w:val="000C3C5B"/>
    <w:rsid w:val="000D0301"/>
    <w:rsid w:val="000D0526"/>
    <w:rsid w:val="000D168B"/>
    <w:rsid w:val="000D4466"/>
    <w:rsid w:val="000D58CD"/>
    <w:rsid w:val="000D5CBB"/>
    <w:rsid w:val="000E07C5"/>
    <w:rsid w:val="000F0869"/>
    <w:rsid w:val="000F093B"/>
    <w:rsid w:val="000F2B5E"/>
    <w:rsid w:val="000F43C0"/>
    <w:rsid w:val="00107029"/>
    <w:rsid w:val="00107F2D"/>
    <w:rsid w:val="00112C7F"/>
    <w:rsid w:val="00114034"/>
    <w:rsid w:val="00115370"/>
    <w:rsid w:val="00120327"/>
    <w:rsid w:val="00121F7A"/>
    <w:rsid w:val="00123509"/>
    <w:rsid w:val="001239D8"/>
    <w:rsid w:val="00125333"/>
    <w:rsid w:val="001273F1"/>
    <w:rsid w:val="0013132E"/>
    <w:rsid w:val="001352B4"/>
    <w:rsid w:val="00137DC1"/>
    <w:rsid w:val="00142E4E"/>
    <w:rsid w:val="00145E65"/>
    <w:rsid w:val="001518F3"/>
    <w:rsid w:val="00155F46"/>
    <w:rsid w:val="00163AEB"/>
    <w:rsid w:val="001657D3"/>
    <w:rsid w:val="00170BC3"/>
    <w:rsid w:val="0017235C"/>
    <w:rsid w:val="00180687"/>
    <w:rsid w:val="00181F06"/>
    <w:rsid w:val="00184BF9"/>
    <w:rsid w:val="00185EED"/>
    <w:rsid w:val="001903C4"/>
    <w:rsid w:val="0019050B"/>
    <w:rsid w:val="00192DA2"/>
    <w:rsid w:val="00193DA7"/>
    <w:rsid w:val="001A0A13"/>
    <w:rsid w:val="001A3E1E"/>
    <w:rsid w:val="001A4D0D"/>
    <w:rsid w:val="001A59CF"/>
    <w:rsid w:val="001A6C74"/>
    <w:rsid w:val="001A79AE"/>
    <w:rsid w:val="001B4FC2"/>
    <w:rsid w:val="001B6EE4"/>
    <w:rsid w:val="001C1679"/>
    <w:rsid w:val="001C73FB"/>
    <w:rsid w:val="001D11B4"/>
    <w:rsid w:val="001D1D0C"/>
    <w:rsid w:val="001D414C"/>
    <w:rsid w:val="001D519D"/>
    <w:rsid w:val="001E2307"/>
    <w:rsid w:val="001E3E40"/>
    <w:rsid w:val="001E6FC1"/>
    <w:rsid w:val="001F35DA"/>
    <w:rsid w:val="001F5A0A"/>
    <w:rsid w:val="001F75EE"/>
    <w:rsid w:val="00200CF9"/>
    <w:rsid w:val="00206316"/>
    <w:rsid w:val="00207C3E"/>
    <w:rsid w:val="0021167D"/>
    <w:rsid w:val="00216DC9"/>
    <w:rsid w:val="00222E45"/>
    <w:rsid w:val="00224522"/>
    <w:rsid w:val="0022479D"/>
    <w:rsid w:val="00225E02"/>
    <w:rsid w:val="0022650E"/>
    <w:rsid w:val="002356DD"/>
    <w:rsid w:val="00236AA5"/>
    <w:rsid w:val="0024689B"/>
    <w:rsid w:val="00246C98"/>
    <w:rsid w:val="00250789"/>
    <w:rsid w:val="00250890"/>
    <w:rsid w:val="00253F33"/>
    <w:rsid w:val="00255B4F"/>
    <w:rsid w:val="002575A9"/>
    <w:rsid w:val="00257B80"/>
    <w:rsid w:val="00263276"/>
    <w:rsid w:val="00263DBC"/>
    <w:rsid w:val="0026421E"/>
    <w:rsid w:val="00264908"/>
    <w:rsid w:val="002739A3"/>
    <w:rsid w:val="002774E4"/>
    <w:rsid w:val="00277CD0"/>
    <w:rsid w:val="00280B3F"/>
    <w:rsid w:val="002817FB"/>
    <w:rsid w:val="002845B1"/>
    <w:rsid w:val="002851F7"/>
    <w:rsid w:val="00285EED"/>
    <w:rsid w:val="00287859"/>
    <w:rsid w:val="00291551"/>
    <w:rsid w:val="002A0E18"/>
    <w:rsid w:val="002A7936"/>
    <w:rsid w:val="002B23A3"/>
    <w:rsid w:val="002B5A8C"/>
    <w:rsid w:val="002B64BB"/>
    <w:rsid w:val="002C1A41"/>
    <w:rsid w:val="002C2614"/>
    <w:rsid w:val="002C5A6D"/>
    <w:rsid w:val="002D2DB3"/>
    <w:rsid w:val="002D2E5F"/>
    <w:rsid w:val="002D38A0"/>
    <w:rsid w:val="002D53C2"/>
    <w:rsid w:val="002D54AC"/>
    <w:rsid w:val="002D700A"/>
    <w:rsid w:val="002E0BB9"/>
    <w:rsid w:val="002E30C6"/>
    <w:rsid w:val="002E39B5"/>
    <w:rsid w:val="002E572C"/>
    <w:rsid w:val="002E5CA3"/>
    <w:rsid w:val="002E6DBF"/>
    <w:rsid w:val="002E7828"/>
    <w:rsid w:val="002E7F5B"/>
    <w:rsid w:val="002F0D4B"/>
    <w:rsid w:val="002F185C"/>
    <w:rsid w:val="00305D79"/>
    <w:rsid w:val="00306D16"/>
    <w:rsid w:val="0030755D"/>
    <w:rsid w:val="00307D5E"/>
    <w:rsid w:val="003106D8"/>
    <w:rsid w:val="0031642D"/>
    <w:rsid w:val="00320096"/>
    <w:rsid w:val="00321FAC"/>
    <w:rsid w:val="003250FD"/>
    <w:rsid w:val="0032668D"/>
    <w:rsid w:val="003337EE"/>
    <w:rsid w:val="00333FFA"/>
    <w:rsid w:val="003402E1"/>
    <w:rsid w:val="0034681F"/>
    <w:rsid w:val="003468C7"/>
    <w:rsid w:val="00346998"/>
    <w:rsid w:val="003502ED"/>
    <w:rsid w:val="00352B4B"/>
    <w:rsid w:val="00354C03"/>
    <w:rsid w:val="003622E6"/>
    <w:rsid w:val="00362689"/>
    <w:rsid w:val="003626F7"/>
    <w:rsid w:val="00363E59"/>
    <w:rsid w:val="0036780D"/>
    <w:rsid w:val="0037257E"/>
    <w:rsid w:val="00372E1E"/>
    <w:rsid w:val="00377351"/>
    <w:rsid w:val="00380F50"/>
    <w:rsid w:val="00383779"/>
    <w:rsid w:val="00386731"/>
    <w:rsid w:val="00392CCE"/>
    <w:rsid w:val="00394B63"/>
    <w:rsid w:val="00395082"/>
    <w:rsid w:val="00395103"/>
    <w:rsid w:val="003A2FB7"/>
    <w:rsid w:val="003A409A"/>
    <w:rsid w:val="003A4FD8"/>
    <w:rsid w:val="003A6FAE"/>
    <w:rsid w:val="003B1B7F"/>
    <w:rsid w:val="003B2809"/>
    <w:rsid w:val="003B7D38"/>
    <w:rsid w:val="003C2836"/>
    <w:rsid w:val="003C3D3D"/>
    <w:rsid w:val="003C46B1"/>
    <w:rsid w:val="003D05FF"/>
    <w:rsid w:val="003D2E0E"/>
    <w:rsid w:val="003D3F2C"/>
    <w:rsid w:val="003D47A0"/>
    <w:rsid w:val="003D481C"/>
    <w:rsid w:val="003E072A"/>
    <w:rsid w:val="003E1AF5"/>
    <w:rsid w:val="003E1CC4"/>
    <w:rsid w:val="003E2B35"/>
    <w:rsid w:val="003E4995"/>
    <w:rsid w:val="003E586C"/>
    <w:rsid w:val="003F202A"/>
    <w:rsid w:val="003F3F5A"/>
    <w:rsid w:val="004011D8"/>
    <w:rsid w:val="00401C16"/>
    <w:rsid w:val="00402B08"/>
    <w:rsid w:val="0040788B"/>
    <w:rsid w:val="00414058"/>
    <w:rsid w:val="0041571A"/>
    <w:rsid w:val="004163EC"/>
    <w:rsid w:val="00420E62"/>
    <w:rsid w:val="00421355"/>
    <w:rsid w:val="00421EA3"/>
    <w:rsid w:val="0042490B"/>
    <w:rsid w:val="00425D64"/>
    <w:rsid w:val="00426266"/>
    <w:rsid w:val="00434342"/>
    <w:rsid w:val="004403A8"/>
    <w:rsid w:val="00444383"/>
    <w:rsid w:val="00445941"/>
    <w:rsid w:val="00445F3A"/>
    <w:rsid w:val="004467CB"/>
    <w:rsid w:val="0044724E"/>
    <w:rsid w:val="004476F1"/>
    <w:rsid w:val="00447EBA"/>
    <w:rsid w:val="00450D21"/>
    <w:rsid w:val="00452160"/>
    <w:rsid w:val="00452DB5"/>
    <w:rsid w:val="00453445"/>
    <w:rsid w:val="00453451"/>
    <w:rsid w:val="004536D4"/>
    <w:rsid w:val="004602C7"/>
    <w:rsid w:val="0046325A"/>
    <w:rsid w:val="004655FB"/>
    <w:rsid w:val="004700EF"/>
    <w:rsid w:val="00470B77"/>
    <w:rsid w:val="00473D8A"/>
    <w:rsid w:val="0047618C"/>
    <w:rsid w:val="00476899"/>
    <w:rsid w:val="00480749"/>
    <w:rsid w:val="00481CAE"/>
    <w:rsid w:val="00484E51"/>
    <w:rsid w:val="00486A04"/>
    <w:rsid w:val="00491EDA"/>
    <w:rsid w:val="00493D6C"/>
    <w:rsid w:val="004A0C89"/>
    <w:rsid w:val="004A581B"/>
    <w:rsid w:val="004A64CF"/>
    <w:rsid w:val="004B4842"/>
    <w:rsid w:val="004B60CD"/>
    <w:rsid w:val="004B678E"/>
    <w:rsid w:val="004C154C"/>
    <w:rsid w:val="004C1FB6"/>
    <w:rsid w:val="004C2458"/>
    <w:rsid w:val="004C3D39"/>
    <w:rsid w:val="004C58A1"/>
    <w:rsid w:val="004C653F"/>
    <w:rsid w:val="004D2806"/>
    <w:rsid w:val="004D62B5"/>
    <w:rsid w:val="004D67C6"/>
    <w:rsid w:val="004D7503"/>
    <w:rsid w:val="004E426C"/>
    <w:rsid w:val="004E6107"/>
    <w:rsid w:val="004F11D8"/>
    <w:rsid w:val="004F2193"/>
    <w:rsid w:val="00502485"/>
    <w:rsid w:val="00505A45"/>
    <w:rsid w:val="00505ADF"/>
    <w:rsid w:val="00520D25"/>
    <w:rsid w:val="00526143"/>
    <w:rsid w:val="0052615C"/>
    <w:rsid w:val="00526655"/>
    <w:rsid w:val="005278ED"/>
    <w:rsid w:val="00527A7C"/>
    <w:rsid w:val="0053000A"/>
    <w:rsid w:val="00531D33"/>
    <w:rsid w:val="005333B4"/>
    <w:rsid w:val="00535D7F"/>
    <w:rsid w:val="00537192"/>
    <w:rsid w:val="00541D15"/>
    <w:rsid w:val="00542E24"/>
    <w:rsid w:val="00550B0F"/>
    <w:rsid w:val="00552EE4"/>
    <w:rsid w:val="0055336B"/>
    <w:rsid w:val="005552CC"/>
    <w:rsid w:val="005553A2"/>
    <w:rsid w:val="005564E6"/>
    <w:rsid w:val="00564B39"/>
    <w:rsid w:val="005662A8"/>
    <w:rsid w:val="0056651E"/>
    <w:rsid w:val="005665AB"/>
    <w:rsid w:val="00571DDC"/>
    <w:rsid w:val="00572FF3"/>
    <w:rsid w:val="00573634"/>
    <w:rsid w:val="00573955"/>
    <w:rsid w:val="0057757A"/>
    <w:rsid w:val="00577828"/>
    <w:rsid w:val="00581EDA"/>
    <w:rsid w:val="00585FA7"/>
    <w:rsid w:val="005864A4"/>
    <w:rsid w:val="005871E8"/>
    <w:rsid w:val="005903BA"/>
    <w:rsid w:val="00590E80"/>
    <w:rsid w:val="00594003"/>
    <w:rsid w:val="005971EF"/>
    <w:rsid w:val="005A22E3"/>
    <w:rsid w:val="005A3372"/>
    <w:rsid w:val="005A50A4"/>
    <w:rsid w:val="005A58F1"/>
    <w:rsid w:val="005B2F94"/>
    <w:rsid w:val="005B3FBE"/>
    <w:rsid w:val="005B4198"/>
    <w:rsid w:val="005B4B64"/>
    <w:rsid w:val="005B4C59"/>
    <w:rsid w:val="005B5293"/>
    <w:rsid w:val="005C0401"/>
    <w:rsid w:val="005C4DA2"/>
    <w:rsid w:val="005C6E07"/>
    <w:rsid w:val="005D14D8"/>
    <w:rsid w:val="005D22DF"/>
    <w:rsid w:val="005E049D"/>
    <w:rsid w:val="005E0927"/>
    <w:rsid w:val="005E25E6"/>
    <w:rsid w:val="005E6EB2"/>
    <w:rsid w:val="005E7595"/>
    <w:rsid w:val="005F0A7D"/>
    <w:rsid w:val="005F1F5A"/>
    <w:rsid w:val="005F6B71"/>
    <w:rsid w:val="00601123"/>
    <w:rsid w:val="00602703"/>
    <w:rsid w:val="0060355F"/>
    <w:rsid w:val="00603DE9"/>
    <w:rsid w:val="00611C66"/>
    <w:rsid w:val="006137C2"/>
    <w:rsid w:val="00613CDE"/>
    <w:rsid w:val="0061713F"/>
    <w:rsid w:val="00630BCE"/>
    <w:rsid w:val="00631997"/>
    <w:rsid w:val="00631AC8"/>
    <w:rsid w:val="00640791"/>
    <w:rsid w:val="00645C37"/>
    <w:rsid w:val="00654E27"/>
    <w:rsid w:val="00654F72"/>
    <w:rsid w:val="00663E65"/>
    <w:rsid w:val="0066460C"/>
    <w:rsid w:val="006660F5"/>
    <w:rsid w:val="006702AE"/>
    <w:rsid w:val="00686A9D"/>
    <w:rsid w:val="00687BC6"/>
    <w:rsid w:val="006911C5"/>
    <w:rsid w:val="00692D23"/>
    <w:rsid w:val="00693E72"/>
    <w:rsid w:val="00693EF6"/>
    <w:rsid w:val="006A0CCD"/>
    <w:rsid w:val="006A1E35"/>
    <w:rsid w:val="006A6B88"/>
    <w:rsid w:val="006A7CD9"/>
    <w:rsid w:val="006A7F5C"/>
    <w:rsid w:val="006B19F7"/>
    <w:rsid w:val="006B1DBC"/>
    <w:rsid w:val="006B2207"/>
    <w:rsid w:val="006B2B87"/>
    <w:rsid w:val="006B465F"/>
    <w:rsid w:val="006C09A9"/>
    <w:rsid w:val="006C1D0B"/>
    <w:rsid w:val="006C254C"/>
    <w:rsid w:val="006C28D1"/>
    <w:rsid w:val="006D27B7"/>
    <w:rsid w:val="006D6270"/>
    <w:rsid w:val="006E0F5F"/>
    <w:rsid w:val="006E1156"/>
    <w:rsid w:val="006E22ED"/>
    <w:rsid w:val="006E3E3C"/>
    <w:rsid w:val="006F0B76"/>
    <w:rsid w:val="006F12AE"/>
    <w:rsid w:val="006F3EA4"/>
    <w:rsid w:val="006F42A6"/>
    <w:rsid w:val="007019ED"/>
    <w:rsid w:val="0070639D"/>
    <w:rsid w:val="00707FB6"/>
    <w:rsid w:val="0071623C"/>
    <w:rsid w:val="007306B5"/>
    <w:rsid w:val="007349B3"/>
    <w:rsid w:val="00734C64"/>
    <w:rsid w:val="0074082B"/>
    <w:rsid w:val="007443F6"/>
    <w:rsid w:val="007522BA"/>
    <w:rsid w:val="00752E47"/>
    <w:rsid w:val="00752EF8"/>
    <w:rsid w:val="007577F4"/>
    <w:rsid w:val="00757F4F"/>
    <w:rsid w:val="0076211B"/>
    <w:rsid w:val="00766F15"/>
    <w:rsid w:val="007832A0"/>
    <w:rsid w:val="007836FF"/>
    <w:rsid w:val="00784B91"/>
    <w:rsid w:val="007856DB"/>
    <w:rsid w:val="00794EE3"/>
    <w:rsid w:val="007A26AF"/>
    <w:rsid w:val="007A28C7"/>
    <w:rsid w:val="007A48EA"/>
    <w:rsid w:val="007A4E29"/>
    <w:rsid w:val="007A77C4"/>
    <w:rsid w:val="007A7F63"/>
    <w:rsid w:val="007B0DE4"/>
    <w:rsid w:val="007B473E"/>
    <w:rsid w:val="007B5392"/>
    <w:rsid w:val="007B69CC"/>
    <w:rsid w:val="007C6A9B"/>
    <w:rsid w:val="007C773C"/>
    <w:rsid w:val="007D3464"/>
    <w:rsid w:val="007E469A"/>
    <w:rsid w:val="007F2B0C"/>
    <w:rsid w:val="007F5ED7"/>
    <w:rsid w:val="008104CC"/>
    <w:rsid w:val="00812804"/>
    <w:rsid w:val="00813407"/>
    <w:rsid w:val="008172A5"/>
    <w:rsid w:val="0082056D"/>
    <w:rsid w:val="00824BC2"/>
    <w:rsid w:val="00830A59"/>
    <w:rsid w:val="00830C36"/>
    <w:rsid w:val="00837EE6"/>
    <w:rsid w:val="00840DA4"/>
    <w:rsid w:val="00843260"/>
    <w:rsid w:val="00843557"/>
    <w:rsid w:val="0084388F"/>
    <w:rsid w:val="00843D61"/>
    <w:rsid w:val="00844FF4"/>
    <w:rsid w:val="00847B98"/>
    <w:rsid w:val="008516D6"/>
    <w:rsid w:val="00851C67"/>
    <w:rsid w:val="00854EA1"/>
    <w:rsid w:val="008551E9"/>
    <w:rsid w:val="00856633"/>
    <w:rsid w:val="00856C12"/>
    <w:rsid w:val="00860E68"/>
    <w:rsid w:val="00863991"/>
    <w:rsid w:val="008649F4"/>
    <w:rsid w:val="00865C97"/>
    <w:rsid w:val="0087008E"/>
    <w:rsid w:val="008744DD"/>
    <w:rsid w:val="0087664A"/>
    <w:rsid w:val="00882558"/>
    <w:rsid w:val="00882D92"/>
    <w:rsid w:val="00883809"/>
    <w:rsid w:val="008846B9"/>
    <w:rsid w:val="00885DD9"/>
    <w:rsid w:val="00890AEF"/>
    <w:rsid w:val="008951C3"/>
    <w:rsid w:val="00895C80"/>
    <w:rsid w:val="00896971"/>
    <w:rsid w:val="008A5672"/>
    <w:rsid w:val="008B004A"/>
    <w:rsid w:val="008B2956"/>
    <w:rsid w:val="008B2BC2"/>
    <w:rsid w:val="008B50A2"/>
    <w:rsid w:val="008B5C33"/>
    <w:rsid w:val="008C0E76"/>
    <w:rsid w:val="008C1F90"/>
    <w:rsid w:val="008C20C3"/>
    <w:rsid w:val="008C222A"/>
    <w:rsid w:val="008C466F"/>
    <w:rsid w:val="008C58F1"/>
    <w:rsid w:val="008D2B9E"/>
    <w:rsid w:val="008D3C6C"/>
    <w:rsid w:val="008D4AED"/>
    <w:rsid w:val="008E055D"/>
    <w:rsid w:val="008E0C34"/>
    <w:rsid w:val="008E3FF0"/>
    <w:rsid w:val="008E6A06"/>
    <w:rsid w:val="008F0F5A"/>
    <w:rsid w:val="008F582E"/>
    <w:rsid w:val="008F5BBE"/>
    <w:rsid w:val="0090338E"/>
    <w:rsid w:val="009062E6"/>
    <w:rsid w:val="00906451"/>
    <w:rsid w:val="00906BE8"/>
    <w:rsid w:val="00907114"/>
    <w:rsid w:val="00912044"/>
    <w:rsid w:val="00922ADB"/>
    <w:rsid w:val="00925C28"/>
    <w:rsid w:val="00926348"/>
    <w:rsid w:val="00927DAC"/>
    <w:rsid w:val="00931BF7"/>
    <w:rsid w:val="00935D08"/>
    <w:rsid w:val="009421A4"/>
    <w:rsid w:val="00942ADC"/>
    <w:rsid w:val="009440D4"/>
    <w:rsid w:val="00947A97"/>
    <w:rsid w:val="00955D93"/>
    <w:rsid w:val="0095653D"/>
    <w:rsid w:val="0096675C"/>
    <w:rsid w:val="00967367"/>
    <w:rsid w:val="00967D3C"/>
    <w:rsid w:val="009738CD"/>
    <w:rsid w:val="0097605A"/>
    <w:rsid w:val="00976BBD"/>
    <w:rsid w:val="0097766C"/>
    <w:rsid w:val="009806C3"/>
    <w:rsid w:val="00986022"/>
    <w:rsid w:val="00986978"/>
    <w:rsid w:val="0099119C"/>
    <w:rsid w:val="009919D7"/>
    <w:rsid w:val="00991AD1"/>
    <w:rsid w:val="0099217D"/>
    <w:rsid w:val="00994A09"/>
    <w:rsid w:val="00995014"/>
    <w:rsid w:val="00997EA1"/>
    <w:rsid w:val="009A0D0E"/>
    <w:rsid w:val="009A38FE"/>
    <w:rsid w:val="009A590A"/>
    <w:rsid w:val="009A74E0"/>
    <w:rsid w:val="009B384D"/>
    <w:rsid w:val="009C1939"/>
    <w:rsid w:val="009C5374"/>
    <w:rsid w:val="009C597A"/>
    <w:rsid w:val="009C7F1D"/>
    <w:rsid w:val="009D11C7"/>
    <w:rsid w:val="009D26D9"/>
    <w:rsid w:val="009D41C8"/>
    <w:rsid w:val="009D66F7"/>
    <w:rsid w:val="009D73B2"/>
    <w:rsid w:val="009D775A"/>
    <w:rsid w:val="009E1228"/>
    <w:rsid w:val="009E1917"/>
    <w:rsid w:val="009E58B2"/>
    <w:rsid w:val="009E5E9B"/>
    <w:rsid w:val="009F6012"/>
    <w:rsid w:val="00A00D04"/>
    <w:rsid w:val="00A010AE"/>
    <w:rsid w:val="00A064CF"/>
    <w:rsid w:val="00A11E89"/>
    <w:rsid w:val="00A15878"/>
    <w:rsid w:val="00A159AF"/>
    <w:rsid w:val="00A16599"/>
    <w:rsid w:val="00A25031"/>
    <w:rsid w:val="00A25050"/>
    <w:rsid w:val="00A309CB"/>
    <w:rsid w:val="00A34EA3"/>
    <w:rsid w:val="00A36639"/>
    <w:rsid w:val="00A416AB"/>
    <w:rsid w:val="00A45EAB"/>
    <w:rsid w:val="00A46557"/>
    <w:rsid w:val="00A5486D"/>
    <w:rsid w:val="00A64DEA"/>
    <w:rsid w:val="00A712F9"/>
    <w:rsid w:val="00A729F8"/>
    <w:rsid w:val="00A73C06"/>
    <w:rsid w:val="00A77CD4"/>
    <w:rsid w:val="00A81F70"/>
    <w:rsid w:val="00A867A3"/>
    <w:rsid w:val="00A9030F"/>
    <w:rsid w:val="00A92EBB"/>
    <w:rsid w:val="00A93D84"/>
    <w:rsid w:val="00A94039"/>
    <w:rsid w:val="00A94324"/>
    <w:rsid w:val="00AA09F6"/>
    <w:rsid w:val="00AC2F00"/>
    <w:rsid w:val="00AC318A"/>
    <w:rsid w:val="00AC5239"/>
    <w:rsid w:val="00AD6FF4"/>
    <w:rsid w:val="00AE199E"/>
    <w:rsid w:val="00AE2CB3"/>
    <w:rsid w:val="00AE2CE8"/>
    <w:rsid w:val="00AE41D9"/>
    <w:rsid w:val="00AF0C46"/>
    <w:rsid w:val="00AF1AAD"/>
    <w:rsid w:val="00AF1AE2"/>
    <w:rsid w:val="00B00EF2"/>
    <w:rsid w:val="00B013D3"/>
    <w:rsid w:val="00B06219"/>
    <w:rsid w:val="00B135D7"/>
    <w:rsid w:val="00B1466C"/>
    <w:rsid w:val="00B14E41"/>
    <w:rsid w:val="00B16271"/>
    <w:rsid w:val="00B163F6"/>
    <w:rsid w:val="00B220A0"/>
    <w:rsid w:val="00B4168B"/>
    <w:rsid w:val="00B423BB"/>
    <w:rsid w:val="00B4353E"/>
    <w:rsid w:val="00B44A6E"/>
    <w:rsid w:val="00B44B2F"/>
    <w:rsid w:val="00B54B88"/>
    <w:rsid w:val="00B56C95"/>
    <w:rsid w:val="00B708F7"/>
    <w:rsid w:val="00B90C3B"/>
    <w:rsid w:val="00B96D74"/>
    <w:rsid w:val="00BA35F9"/>
    <w:rsid w:val="00BB0DB0"/>
    <w:rsid w:val="00BB14BD"/>
    <w:rsid w:val="00BB1C21"/>
    <w:rsid w:val="00BB4F2F"/>
    <w:rsid w:val="00BB561B"/>
    <w:rsid w:val="00BC0EE7"/>
    <w:rsid w:val="00BC4AD7"/>
    <w:rsid w:val="00BC6774"/>
    <w:rsid w:val="00BD58CE"/>
    <w:rsid w:val="00BE1213"/>
    <w:rsid w:val="00BE29D8"/>
    <w:rsid w:val="00BE39CD"/>
    <w:rsid w:val="00BE4D1B"/>
    <w:rsid w:val="00BE5D4F"/>
    <w:rsid w:val="00BE78E4"/>
    <w:rsid w:val="00BE7C24"/>
    <w:rsid w:val="00BF1425"/>
    <w:rsid w:val="00BF14FE"/>
    <w:rsid w:val="00BF3F5E"/>
    <w:rsid w:val="00C10701"/>
    <w:rsid w:val="00C22B7E"/>
    <w:rsid w:val="00C22E07"/>
    <w:rsid w:val="00C24354"/>
    <w:rsid w:val="00C261A1"/>
    <w:rsid w:val="00C30A31"/>
    <w:rsid w:val="00C31954"/>
    <w:rsid w:val="00C32B96"/>
    <w:rsid w:val="00C37D98"/>
    <w:rsid w:val="00C40A5B"/>
    <w:rsid w:val="00C412B7"/>
    <w:rsid w:val="00C4133A"/>
    <w:rsid w:val="00C46A77"/>
    <w:rsid w:val="00C46C18"/>
    <w:rsid w:val="00C525F7"/>
    <w:rsid w:val="00C52F46"/>
    <w:rsid w:val="00C621DA"/>
    <w:rsid w:val="00C64E00"/>
    <w:rsid w:val="00C7120E"/>
    <w:rsid w:val="00C74BEA"/>
    <w:rsid w:val="00C759F2"/>
    <w:rsid w:val="00C80270"/>
    <w:rsid w:val="00C828EC"/>
    <w:rsid w:val="00C82FC9"/>
    <w:rsid w:val="00C83EA2"/>
    <w:rsid w:val="00C87FD3"/>
    <w:rsid w:val="00C907AB"/>
    <w:rsid w:val="00C91116"/>
    <w:rsid w:val="00C9484B"/>
    <w:rsid w:val="00C97B3E"/>
    <w:rsid w:val="00CA07A3"/>
    <w:rsid w:val="00CA4620"/>
    <w:rsid w:val="00CA63C3"/>
    <w:rsid w:val="00CB3EBB"/>
    <w:rsid w:val="00CB49C8"/>
    <w:rsid w:val="00CB4A9F"/>
    <w:rsid w:val="00CC1186"/>
    <w:rsid w:val="00CC2B65"/>
    <w:rsid w:val="00CC2FA4"/>
    <w:rsid w:val="00CC3746"/>
    <w:rsid w:val="00CC4760"/>
    <w:rsid w:val="00CC554C"/>
    <w:rsid w:val="00CC5976"/>
    <w:rsid w:val="00CC7E4A"/>
    <w:rsid w:val="00CD1D5E"/>
    <w:rsid w:val="00CD5F8A"/>
    <w:rsid w:val="00CD6194"/>
    <w:rsid w:val="00CD6622"/>
    <w:rsid w:val="00CE0E70"/>
    <w:rsid w:val="00CE1D2A"/>
    <w:rsid w:val="00CE49C5"/>
    <w:rsid w:val="00CE6026"/>
    <w:rsid w:val="00CF6BA3"/>
    <w:rsid w:val="00D015BB"/>
    <w:rsid w:val="00D03D9D"/>
    <w:rsid w:val="00D04036"/>
    <w:rsid w:val="00D063A8"/>
    <w:rsid w:val="00D10301"/>
    <w:rsid w:val="00D130F8"/>
    <w:rsid w:val="00D259DE"/>
    <w:rsid w:val="00D2623D"/>
    <w:rsid w:val="00D269EF"/>
    <w:rsid w:val="00D31388"/>
    <w:rsid w:val="00D3436D"/>
    <w:rsid w:val="00D344EC"/>
    <w:rsid w:val="00D34CFB"/>
    <w:rsid w:val="00D40FEB"/>
    <w:rsid w:val="00D41B2A"/>
    <w:rsid w:val="00D463E3"/>
    <w:rsid w:val="00D47B5D"/>
    <w:rsid w:val="00D7134F"/>
    <w:rsid w:val="00D74458"/>
    <w:rsid w:val="00D83949"/>
    <w:rsid w:val="00DA18E4"/>
    <w:rsid w:val="00DA454C"/>
    <w:rsid w:val="00DB4FD0"/>
    <w:rsid w:val="00DD26AE"/>
    <w:rsid w:val="00DD778A"/>
    <w:rsid w:val="00DE3F20"/>
    <w:rsid w:val="00DF2F4B"/>
    <w:rsid w:val="00DF675D"/>
    <w:rsid w:val="00DF742A"/>
    <w:rsid w:val="00E01904"/>
    <w:rsid w:val="00E019AF"/>
    <w:rsid w:val="00E02F6D"/>
    <w:rsid w:val="00E05195"/>
    <w:rsid w:val="00E05DA3"/>
    <w:rsid w:val="00E06358"/>
    <w:rsid w:val="00E066E9"/>
    <w:rsid w:val="00E14597"/>
    <w:rsid w:val="00E24C0C"/>
    <w:rsid w:val="00E269AA"/>
    <w:rsid w:val="00E3396F"/>
    <w:rsid w:val="00E34CEF"/>
    <w:rsid w:val="00E35771"/>
    <w:rsid w:val="00E35FC5"/>
    <w:rsid w:val="00E45216"/>
    <w:rsid w:val="00E46142"/>
    <w:rsid w:val="00E50229"/>
    <w:rsid w:val="00E50691"/>
    <w:rsid w:val="00E52C4D"/>
    <w:rsid w:val="00E55C74"/>
    <w:rsid w:val="00E60BF2"/>
    <w:rsid w:val="00E66A08"/>
    <w:rsid w:val="00E71460"/>
    <w:rsid w:val="00E71C2C"/>
    <w:rsid w:val="00E71D31"/>
    <w:rsid w:val="00E73C28"/>
    <w:rsid w:val="00E73EF9"/>
    <w:rsid w:val="00E74873"/>
    <w:rsid w:val="00E74934"/>
    <w:rsid w:val="00E80515"/>
    <w:rsid w:val="00E83836"/>
    <w:rsid w:val="00E84A9F"/>
    <w:rsid w:val="00E85EE0"/>
    <w:rsid w:val="00E90B74"/>
    <w:rsid w:val="00E90DA0"/>
    <w:rsid w:val="00E93F8B"/>
    <w:rsid w:val="00E94420"/>
    <w:rsid w:val="00E946D8"/>
    <w:rsid w:val="00E97DD9"/>
    <w:rsid w:val="00EA0ABE"/>
    <w:rsid w:val="00EA5435"/>
    <w:rsid w:val="00EB2932"/>
    <w:rsid w:val="00EB398C"/>
    <w:rsid w:val="00EB6E79"/>
    <w:rsid w:val="00EB7A87"/>
    <w:rsid w:val="00EC6023"/>
    <w:rsid w:val="00ED06B0"/>
    <w:rsid w:val="00ED7BD3"/>
    <w:rsid w:val="00EE2C4F"/>
    <w:rsid w:val="00EE58AA"/>
    <w:rsid w:val="00EF0D83"/>
    <w:rsid w:val="00EF3B19"/>
    <w:rsid w:val="00EF7DAD"/>
    <w:rsid w:val="00F00D09"/>
    <w:rsid w:val="00F01140"/>
    <w:rsid w:val="00F01F28"/>
    <w:rsid w:val="00F115DC"/>
    <w:rsid w:val="00F140DF"/>
    <w:rsid w:val="00F150BF"/>
    <w:rsid w:val="00F17931"/>
    <w:rsid w:val="00F17AA4"/>
    <w:rsid w:val="00F2170D"/>
    <w:rsid w:val="00F224A3"/>
    <w:rsid w:val="00F2265C"/>
    <w:rsid w:val="00F26CB5"/>
    <w:rsid w:val="00F32179"/>
    <w:rsid w:val="00F35B4D"/>
    <w:rsid w:val="00F47227"/>
    <w:rsid w:val="00F47A0F"/>
    <w:rsid w:val="00F524FD"/>
    <w:rsid w:val="00F52C2C"/>
    <w:rsid w:val="00F53227"/>
    <w:rsid w:val="00F55D10"/>
    <w:rsid w:val="00F6101D"/>
    <w:rsid w:val="00F64A71"/>
    <w:rsid w:val="00F703B2"/>
    <w:rsid w:val="00F71788"/>
    <w:rsid w:val="00F72FF8"/>
    <w:rsid w:val="00F77098"/>
    <w:rsid w:val="00F81E53"/>
    <w:rsid w:val="00F82529"/>
    <w:rsid w:val="00F82D89"/>
    <w:rsid w:val="00F83057"/>
    <w:rsid w:val="00F9008E"/>
    <w:rsid w:val="00F90802"/>
    <w:rsid w:val="00F95065"/>
    <w:rsid w:val="00F95C5E"/>
    <w:rsid w:val="00F96D8B"/>
    <w:rsid w:val="00FA365A"/>
    <w:rsid w:val="00FB0CE2"/>
    <w:rsid w:val="00FB35BC"/>
    <w:rsid w:val="00FB5A91"/>
    <w:rsid w:val="00FB71E4"/>
    <w:rsid w:val="00FC0E95"/>
    <w:rsid w:val="00FC1AA2"/>
    <w:rsid w:val="00FC3518"/>
    <w:rsid w:val="00FC3A6A"/>
    <w:rsid w:val="00FC7A60"/>
    <w:rsid w:val="00FD5DA2"/>
    <w:rsid w:val="00FD6FCC"/>
    <w:rsid w:val="00FE3EF5"/>
    <w:rsid w:val="00FE42C2"/>
    <w:rsid w:val="00FE4FA7"/>
    <w:rsid w:val="00FE74EE"/>
    <w:rsid w:val="00FF48C8"/>
    <w:rsid w:val="00FF53C2"/>
    <w:rsid w:val="00FF54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B3797"/>
  <w15:docId w15:val="{1059CE73-6B80-4E3B-AE86-F0386EB9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91116"/>
  </w:style>
  <w:style w:type="paragraph" w:styleId="Nagwek1">
    <w:name w:val="heading 1"/>
    <w:basedOn w:val="Normalny"/>
    <w:next w:val="Normalny"/>
    <w:link w:val="Nagwek1Znak"/>
    <w:autoRedefine/>
    <w:uiPriority w:val="9"/>
    <w:qFormat/>
    <w:rsid w:val="009C597A"/>
    <w:pPr>
      <w:keepNext/>
      <w:keepLines/>
      <w:spacing w:after="0" w:line="360" w:lineRule="auto"/>
      <w:outlineLvl w:val="0"/>
    </w:pPr>
    <w:rPr>
      <w:rFonts w:asciiTheme="majorHAnsi" w:eastAsiaTheme="majorEastAsia" w:hAnsiTheme="majorHAnsi" w:cstheme="majorBidi"/>
      <w:b/>
      <w:bCs/>
      <w:color w:val="2F5496" w:themeColor="accent1" w:themeShade="BF"/>
      <w:sz w:val="24"/>
      <w:szCs w:val="24"/>
    </w:rPr>
  </w:style>
  <w:style w:type="paragraph" w:styleId="Nagwek2">
    <w:name w:val="heading 2"/>
    <w:basedOn w:val="Normalny"/>
    <w:next w:val="Normalny"/>
    <w:link w:val="Nagwek2Znak"/>
    <w:uiPriority w:val="9"/>
    <w:unhideWhenUsed/>
    <w:qFormat/>
    <w:rsid w:val="00A77C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9667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C597A"/>
    <w:rPr>
      <w:rFonts w:asciiTheme="majorHAnsi" w:eastAsiaTheme="majorEastAsia" w:hAnsiTheme="majorHAnsi" w:cstheme="majorBidi"/>
      <w:b/>
      <w:bCs/>
      <w:color w:val="2F5496" w:themeColor="accent1" w:themeShade="BF"/>
      <w:sz w:val="24"/>
      <w:szCs w:val="24"/>
    </w:rPr>
  </w:style>
  <w:style w:type="paragraph" w:customStyle="1" w:styleId="Tekst">
    <w:name w:val="Tekst"/>
    <w:basedOn w:val="Normalny"/>
    <w:link w:val="TekstZnak"/>
    <w:qFormat/>
    <w:rsid w:val="00291551"/>
    <w:pPr>
      <w:spacing w:line="360" w:lineRule="auto"/>
    </w:pPr>
    <w:rPr>
      <w:sz w:val="24"/>
    </w:rPr>
  </w:style>
  <w:style w:type="paragraph" w:styleId="Akapitzlist">
    <w:name w:val="List Paragraph"/>
    <w:basedOn w:val="Normalny"/>
    <w:uiPriority w:val="34"/>
    <w:qFormat/>
    <w:rsid w:val="003D481C"/>
    <w:pPr>
      <w:spacing w:after="0" w:line="240" w:lineRule="auto"/>
      <w:ind w:left="720"/>
    </w:pPr>
    <w:rPr>
      <w:rFonts w:ascii="Calibri" w:hAnsi="Calibri" w:cs="Calibri"/>
    </w:rPr>
  </w:style>
  <w:style w:type="character" w:customStyle="1" w:styleId="TekstZnak">
    <w:name w:val="Tekst Znak"/>
    <w:basedOn w:val="Domylnaczcionkaakapitu"/>
    <w:link w:val="Tekst"/>
    <w:rsid w:val="00291551"/>
    <w:rPr>
      <w:sz w:val="24"/>
    </w:rPr>
  </w:style>
  <w:style w:type="paragraph" w:customStyle="1" w:styleId="Wyliczany">
    <w:name w:val="Wyliczany"/>
    <w:basedOn w:val="Tekst"/>
    <w:link w:val="WyliczanyZnak"/>
    <w:qFormat/>
    <w:rsid w:val="0031642D"/>
    <w:pPr>
      <w:numPr>
        <w:numId w:val="9"/>
      </w:numPr>
    </w:pPr>
    <w:rPr>
      <w:rFonts w:eastAsia="Times New Roman"/>
    </w:rPr>
  </w:style>
  <w:style w:type="character" w:styleId="Odwoaniedokomentarza">
    <w:name w:val="annotation reference"/>
    <w:basedOn w:val="Domylnaczcionkaakapitu"/>
    <w:uiPriority w:val="99"/>
    <w:semiHidden/>
    <w:unhideWhenUsed/>
    <w:rsid w:val="00352B4B"/>
    <w:rPr>
      <w:sz w:val="16"/>
      <w:szCs w:val="16"/>
    </w:rPr>
  </w:style>
  <w:style w:type="character" w:customStyle="1" w:styleId="WyliczanyZnak">
    <w:name w:val="Wyliczany Znak"/>
    <w:basedOn w:val="TekstZnak"/>
    <w:link w:val="Wyliczany"/>
    <w:rsid w:val="0031642D"/>
    <w:rPr>
      <w:rFonts w:eastAsia="Times New Roman"/>
      <w:sz w:val="24"/>
    </w:rPr>
  </w:style>
  <w:style w:type="paragraph" w:styleId="Tekstkomentarza">
    <w:name w:val="annotation text"/>
    <w:basedOn w:val="Normalny"/>
    <w:link w:val="TekstkomentarzaZnak"/>
    <w:uiPriority w:val="99"/>
    <w:unhideWhenUsed/>
    <w:rsid w:val="00352B4B"/>
    <w:pPr>
      <w:spacing w:line="240" w:lineRule="auto"/>
    </w:pPr>
    <w:rPr>
      <w:sz w:val="20"/>
      <w:szCs w:val="20"/>
    </w:rPr>
  </w:style>
  <w:style w:type="character" w:customStyle="1" w:styleId="TekstkomentarzaZnak">
    <w:name w:val="Tekst komentarza Znak"/>
    <w:basedOn w:val="Domylnaczcionkaakapitu"/>
    <w:link w:val="Tekstkomentarza"/>
    <w:uiPriority w:val="99"/>
    <w:rsid w:val="00352B4B"/>
    <w:rPr>
      <w:sz w:val="20"/>
      <w:szCs w:val="20"/>
    </w:rPr>
  </w:style>
  <w:style w:type="character" w:customStyle="1" w:styleId="Nagwek2Znak">
    <w:name w:val="Nagłówek 2 Znak"/>
    <w:basedOn w:val="Domylnaczcionkaakapitu"/>
    <w:link w:val="Nagwek2"/>
    <w:uiPriority w:val="9"/>
    <w:rsid w:val="00A77CD4"/>
    <w:rPr>
      <w:rFonts w:asciiTheme="majorHAnsi" w:eastAsiaTheme="majorEastAsia" w:hAnsiTheme="majorHAnsi" w:cstheme="majorBidi"/>
      <w:color w:val="2F5496" w:themeColor="accent1" w:themeShade="BF"/>
      <w:sz w:val="26"/>
      <w:szCs w:val="26"/>
    </w:rPr>
  </w:style>
  <w:style w:type="paragraph" w:styleId="Tekstprzypisukocowego">
    <w:name w:val="endnote text"/>
    <w:basedOn w:val="Normalny"/>
    <w:link w:val="TekstprzypisukocowegoZnak"/>
    <w:uiPriority w:val="99"/>
    <w:semiHidden/>
    <w:unhideWhenUsed/>
    <w:rsid w:val="0000171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0171D"/>
    <w:rPr>
      <w:sz w:val="20"/>
      <w:szCs w:val="20"/>
    </w:rPr>
  </w:style>
  <w:style w:type="character" w:styleId="Odwoanieprzypisukocowego">
    <w:name w:val="endnote reference"/>
    <w:basedOn w:val="Domylnaczcionkaakapitu"/>
    <w:uiPriority w:val="99"/>
    <w:semiHidden/>
    <w:unhideWhenUsed/>
    <w:rsid w:val="0000171D"/>
    <w:rPr>
      <w:vertAlign w:val="superscript"/>
    </w:rPr>
  </w:style>
  <w:style w:type="paragraph" w:styleId="Nagwek">
    <w:name w:val="header"/>
    <w:basedOn w:val="Normalny"/>
    <w:link w:val="NagwekZnak"/>
    <w:uiPriority w:val="99"/>
    <w:unhideWhenUsed/>
    <w:rsid w:val="00E063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06358"/>
  </w:style>
  <w:style w:type="paragraph" w:styleId="Stopka">
    <w:name w:val="footer"/>
    <w:basedOn w:val="Normalny"/>
    <w:link w:val="StopkaZnak"/>
    <w:uiPriority w:val="99"/>
    <w:unhideWhenUsed/>
    <w:rsid w:val="00E063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06358"/>
  </w:style>
  <w:style w:type="paragraph" w:styleId="Tematkomentarza">
    <w:name w:val="annotation subject"/>
    <w:basedOn w:val="Tekstkomentarza"/>
    <w:next w:val="Tekstkomentarza"/>
    <w:link w:val="TematkomentarzaZnak"/>
    <w:uiPriority w:val="99"/>
    <w:semiHidden/>
    <w:unhideWhenUsed/>
    <w:rsid w:val="00CF6BA3"/>
    <w:rPr>
      <w:b/>
      <w:bCs/>
    </w:rPr>
  </w:style>
  <w:style w:type="character" w:customStyle="1" w:styleId="TematkomentarzaZnak">
    <w:name w:val="Temat komentarza Znak"/>
    <w:basedOn w:val="TekstkomentarzaZnak"/>
    <w:link w:val="Tematkomentarza"/>
    <w:uiPriority w:val="99"/>
    <w:semiHidden/>
    <w:rsid w:val="00CF6BA3"/>
    <w:rPr>
      <w:b/>
      <w:bCs/>
      <w:sz w:val="20"/>
      <w:szCs w:val="20"/>
    </w:rPr>
  </w:style>
  <w:style w:type="paragraph" w:styleId="Tekstprzypisudolnego">
    <w:name w:val="footnote text"/>
    <w:basedOn w:val="Normalny"/>
    <w:link w:val="TekstprzypisudolnegoZnak"/>
    <w:uiPriority w:val="99"/>
    <w:semiHidden/>
    <w:unhideWhenUsed/>
    <w:rsid w:val="001D1D0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D1D0C"/>
    <w:rPr>
      <w:sz w:val="20"/>
      <w:szCs w:val="20"/>
    </w:rPr>
  </w:style>
  <w:style w:type="character" w:styleId="Odwoanieprzypisudolnego">
    <w:name w:val="footnote reference"/>
    <w:basedOn w:val="Domylnaczcionkaakapitu"/>
    <w:uiPriority w:val="99"/>
    <w:semiHidden/>
    <w:unhideWhenUsed/>
    <w:rsid w:val="001D1D0C"/>
    <w:rPr>
      <w:vertAlign w:val="superscript"/>
    </w:rPr>
  </w:style>
  <w:style w:type="paragraph" w:styleId="Poprawka">
    <w:name w:val="Revision"/>
    <w:hidden/>
    <w:uiPriority w:val="99"/>
    <w:semiHidden/>
    <w:rsid w:val="002C2614"/>
    <w:pPr>
      <w:spacing w:after="0" w:line="240" w:lineRule="auto"/>
    </w:pPr>
  </w:style>
  <w:style w:type="paragraph" w:styleId="Nagwekspisutreci">
    <w:name w:val="TOC Heading"/>
    <w:basedOn w:val="Nagwek1"/>
    <w:next w:val="Normalny"/>
    <w:uiPriority w:val="39"/>
    <w:unhideWhenUsed/>
    <w:qFormat/>
    <w:rsid w:val="009C5374"/>
    <w:pPr>
      <w:jc w:val="both"/>
      <w:outlineLvl w:val="9"/>
    </w:pPr>
    <w:rPr>
      <w:rFonts w:asciiTheme="minorHAnsi" w:hAnsiTheme="minorHAnsi" w:cstheme="minorHAnsi"/>
      <w:b w:val="0"/>
      <w:bCs w:val="0"/>
      <w:sz w:val="32"/>
      <w:lang w:eastAsia="pl-PL"/>
    </w:rPr>
  </w:style>
  <w:style w:type="paragraph" w:styleId="Spistreci1">
    <w:name w:val="toc 1"/>
    <w:basedOn w:val="Normalny"/>
    <w:next w:val="Normalny"/>
    <w:autoRedefine/>
    <w:uiPriority w:val="39"/>
    <w:unhideWhenUsed/>
    <w:rsid w:val="00BE29D8"/>
    <w:pPr>
      <w:tabs>
        <w:tab w:val="right" w:leader="dot" w:pos="9205"/>
      </w:tabs>
      <w:spacing w:after="100"/>
    </w:pPr>
  </w:style>
  <w:style w:type="character" w:styleId="Hipercze">
    <w:name w:val="Hyperlink"/>
    <w:basedOn w:val="Domylnaczcionkaakapitu"/>
    <w:uiPriority w:val="99"/>
    <w:unhideWhenUsed/>
    <w:rsid w:val="009C5374"/>
    <w:rPr>
      <w:color w:val="0563C1" w:themeColor="hyperlink"/>
      <w:u w:val="single"/>
    </w:rPr>
  </w:style>
  <w:style w:type="table" w:styleId="Tabela-Siatka">
    <w:name w:val="Table Grid"/>
    <w:basedOn w:val="Standardowy"/>
    <w:uiPriority w:val="39"/>
    <w:rsid w:val="009C5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9C5374"/>
    <w:pPr>
      <w:tabs>
        <w:tab w:val="right" w:leader="dot" w:pos="9205"/>
      </w:tabs>
      <w:spacing w:after="100"/>
      <w:ind w:left="220"/>
    </w:pPr>
    <w:rPr>
      <w:noProof/>
    </w:rPr>
  </w:style>
  <w:style w:type="character" w:customStyle="1" w:styleId="Nagwek3Znak">
    <w:name w:val="Nagłówek 3 Znak"/>
    <w:basedOn w:val="Domylnaczcionkaakapitu"/>
    <w:link w:val="Nagwek3"/>
    <w:uiPriority w:val="9"/>
    <w:rsid w:val="0096675C"/>
    <w:rPr>
      <w:rFonts w:asciiTheme="majorHAnsi" w:eastAsiaTheme="majorEastAsia" w:hAnsiTheme="majorHAnsi" w:cstheme="majorBidi"/>
      <w:color w:val="1F3763" w:themeColor="accent1" w:themeShade="7F"/>
      <w:sz w:val="24"/>
      <w:szCs w:val="24"/>
    </w:rPr>
  </w:style>
  <w:style w:type="paragraph" w:styleId="Spistreci3">
    <w:name w:val="toc 3"/>
    <w:basedOn w:val="Normalny"/>
    <w:next w:val="Normalny"/>
    <w:autoRedefine/>
    <w:uiPriority w:val="39"/>
    <w:unhideWhenUsed/>
    <w:rsid w:val="008551E9"/>
    <w:pPr>
      <w:tabs>
        <w:tab w:val="right" w:leader="dot" w:pos="9205"/>
      </w:tabs>
      <w:spacing w:after="100"/>
      <w:ind w:left="284"/>
    </w:pPr>
  </w:style>
  <w:style w:type="character" w:styleId="Nierozpoznanawzmianka">
    <w:name w:val="Unresolved Mention"/>
    <w:basedOn w:val="Domylnaczcionkaakapitu"/>
    <w:uiPriority w:val="99"/>
    <w:semiHidden/>
    <w:unhideWhenUsed/>
    <w:rsid w:val="007A26AF"/>
    <w:rPr>
      <w:color w:val="605E5C"/>
      <w:shd w:val="clear" w:color="auto" w:fill="E1DFDD"/>
    </w:rPr>
  </w:style>
  <w:style w:type="character" w:styleId="UyteHipercze">
    <w:name w:val="FollowedHyperlink"/>
    <w:basedOn w:val="Domylnaczcionkaakapitu"/>
    <w:uiPriority w:val="99"/>
    <w:semiHidden/>
    <w:unhideWhenUsed/>
    <w:rsid w:val="007A26AF"/>
    <w:rPr>
      <w:color w:val="954F72" w:themeColor="followedHyperlink"/>
      <w:u w:val="single"/>
    </w:rPr>
  </w:style>
  <w:style w:type="paragraph" w:customStyle="1" w:styleId="Default">
    <w:name w:val="Default"/>
    <w:rsid w:val="00FB0CE2"/>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17433">
      <w:bodyDiv w:val="1"/>
      <w:marLeft w:val="0"/>
      <w:marRight w:val="0"/>
      <w:marTop w:val="0"/>
      <w:marBottom w:val="0"/>
      <w:divBdr>
        <w:top w:val="none" w:sz="0" w:space="0" w:color="auto"/>
        <w:left w:val="none" w:sz="0" w:space="0" w:color="auto"/>
        <w:bottom w:val="none" w:sz="0" w:space="0" w:color="auto"/>
        <w:right w:val="none" w:sz="0" w:space="0" w:color="auto"/>
      </w:divBdr>
    </w:div>
    <w:div w:id="56054154">
      <w:bodyDiv w:val="1"/>
      <w:marLeft w:val="0"/>
      <w:marRight w:val="0"/>
      <w:marTop w:val="0"/>
      <w:marBottom w:val="0"/>
      <w:divBdr>
        <w:top w:val="none" w:sz="0" w:space="0" w:color="auto"/>
        <w:left w:val="none" w:sz="0" w:space="0" w:color="auto"/>
        <w:bottom w:val="none" w:sz="0" w:space="0" w:color="auto"/>
        <w:right w:val="none" w:sz="0" w:space="0" w:color="auto"/>
      </w:divBdr>
    </w:div>
    <w:div w:id="108009941">
      <w:bodyDiv w:val="1"/>
      <w:marLeft w:val="0"/>
      <w:marRight w:val="0"/>
      <w:marTop w:val="0"/>
      <w:marBottom w:val="0"/>
      <w:divBdr>
        <w:top w:val="none" w:sz="0" w:space="0" w:color="auto"/>
        <w:left w:val="none" w:sz="0" w:space="0" w:color="auto"/>
        <w:bottom w:val="none" w:sz="0" w:space="0" w:color="auto"/>
        <w:right w:val="none" w:sz="0" w:space="0" w:color="auto"/>
      </w:divBdr>
    </w:div>
    <w:div w:id="149637431">
      <w:bodyDiv w:val="1"/>
      <w:marLeft w:val="0"/>
      <w:marRight w:val="0"/>
      <w:marTop w:val="0"/>
      <w:marBottom w:val="0"/>
      <w:divBdr>
        <w:top w:val="none" w:sz="0" w:space="0" w:color="auto"/>
        <w:left w:val="none" w:sz="0" w:space="0" w:color="auto"/>
        <w:bottom w:val="none" w:sz="0" w:space="0" w:color="auto"/>
        <w:right w:val="none" w:sz="0" w:space="0" w:color="auto"/>
      </w:divBdr>
    </w:div>
    <w:div w:id="158663210">
      <w:bodyDiv w:val="1"/>
      <w:marLeft w:val="0"/>
      <w:marRight w:val="0"/>
      <w:marTop w:val="0"/>
      <w:marBottom w:val="0"/>
      <w:divBdr>
        <w:top w:val="none" w:sz="0" w:space="0" w:color="auto"/>
        <w:left w:val="none" w:sz="0" w:space="0" w:color="auto"/>
        <w:bottom w:val="none" w:sz="0" w:space="0" w:color="auto"/>
        <w:right w:val="none" w:sz="0" w:space="0" w:color="auto"/>
      </w:divBdr>
    </w:div>
    <w:div w:id="172959851">
      <w:bodyDiv w:val="1"/>
      <w:marLeft w:val="0"/>
      <w:marRight w:val="0"/>
      <w:marTop w:val="0"/>
      <w:marBottom w:val="0"/>
      <w:divBdr>
        <w:top w:val="none" w:sz="0" w:space="0" w:color="auto"/>
        <w:left w:val="none" w:sz="0" w:space="0" w:color="auto"/>
        <w:bottom w:val="none" w:sz="0" w:space="0" w:color="auto"/>
        <w:right w:val="none" w:sz="0" w:space="0" w:color="auto"/>
      </w:divBdr>
    </w:div>
    <w:div w:id="204297339">
      <w:bodyDiv w:val="1"/>
      <w:marLeft w:val="0"/>
      <w:marRight w:val="0"/>
      <w:marTop w:val="0"/>
      <w:marBottom w:val="0"/>
      <w:divBdr>
        <w:top w:val="none" w:sz="0" w:space="0" w:color="auto"/>
        <w:left w:val="none" w:sz="0" w:space="0" w:color="auto"/>
        <w:bottom w:val="none" w:sz="0" w:space="0" w:color="auto"/>
        <w:right w:val="none" w:sz="0" w:space="0" w:color="auto"/>
      </w:divBdr>
    </w:div>
    <w:div w:id="287199536">
      <w:bodyDiv w:val="1"/>
      <w:marLeft w:val="0"/>
      <w:marRight w:val="0"/>
      <w:marTop w:val="0"/>
      <w:marBottom w:val="0"/>
      <w:divBdr>
        <w:top w:val="none" w:sz="0" w:space="0" w:color="auto"/>
        <w:left w:val="none" w:sz="0" w:space="0" w:color="auto"/>
        <w:bottom w:val="none" w:sz="0" w:space="0" w:color="auto"/>
        <w:right w:val="none" w:sz="0" w:space="0" w:color="auto"/>
      </w:divBdr>
    </w:div>
    <w:div w:id="308438796">
      <w:bodyDiv w:val="1"/>
      <w:marLeft w:val="0"/>
      <w:marRight w:val="0"/>
      <w:marTop w:val="0"/>
      <w:marBottom w:val="0"/>
      <w:divBdr>
        <w:top w:val="none" w:sz="0" w:space="0" w:color="auto"/>
        <w:left w:val="none" w:sz="0" w:space="0" w:color="auto"/>
        <w:bottom w:val="none" w:sz="0" w:space="0" w:color="auto"/>
        <w:right w:val="none" w:sz="0" w:space="0" w:color="auto"/>
      </w:divBdr>
    </w:div>
    <w:div w:id="434906237">
      <w:bodyDiv w:val="1"/>
      <w:marLeft w:val="0"/>
      <w:marRight w:val="0"/>
      <w:marTop w:val="0"/>
      <w:marBottom w:val="0"/>
      <w:divBdr>
        <w:top w:val="none" w:sz="0" w:space="0" w:color="auto"/>
        <w:left w:val="none" w:sz="0" w:space="0" w:color="auto"/>
        <w:bottom w:val="none" w:sz="0" w:space="0" w:color="auto"/>
        <w:right w:val="none" w:sz="0" w:space="0" w:color="auto"/>
      </w:divBdr>
    </w:div>
    <w:div w:id="437674544">
      <w:bodyDiv w:val="1"/>
      <w:marLeft w:val="0"/>
      <w:marRight w:val="0"/>
      <w:marTop w:val="0"/>
      <w:marBottom w:val="0"/>
      <w:divBdr>
        <w:top w:val="none" w:sz="0" w:space="0" w:color="auto"/>
        <w:left w:val="none" w:sz="0" w:space="0" w:color="auto"/>
        <w:bottom w:val="none" w:sz="0" w:space="0" w:color="auto"/>
        <w:right w:val="none" w:sz="0" w:space="0" w:color="auto"/>
      </w:divBdr>
    </w:div>
    <w:div w:id="482547859">
      <w:bodyDiv w:val="1"/>
      <w:marLeft w:val="0"/>
      <w:marRight w:val="0"/>
      <w:marTop w:val="0"/>
      <w:marBottom w:val="0"/>
      <w:divBdr>
        <w:top w:val="none" w:sz="0" w:space="0" w:color="auto"/>
        <w:left w:val="none" w:sz="0" w:space="0" w:color="auto"/>
        <w:bottom w:val="none" w:sz="0" w:space="0" w:color="auto"/>
        <w:right w:val="none" w:sz="0" w:space="0" w:color="auto"/>
      </w:divBdr>
    </w:div>
    <w:div w:id="490412372">
      <w:bodyDiv w:val="1"/>
      <w:marLeft w:val="0"/>
      <w:marRight w:val="0"/>
      <w:marTop w:val="0"/>
      <w:marBottom w:val="0"/>
      <w:divBdr>
        <w:top w:val="none" w:sz="0" w:space="0" w:color="auto"/>
        <w:left w:val="none" w:sz="0" w:space="0" w:color="auto"/>
        <w:bottom w:val="none" w:sz="0" w:space="0" w:color="auto"/>
        <w:right w:val="none" w:sz="0" w:space="0" w:color="auto"/>
      </w:divBdr>
    </w:div>
    <w:div w:id="504710016">
      <w:bodyDiv w:val="1"/>
      <w:marLeft w:val="0"/>
      <w:marRight w:val="0"/>
      <w:marTop w:val="0"/>
      <w:marBottom w:val="0"/>
      <w:divBdr>
        <w:top w:val="none" w:sz="0" w:space="0" w:color="auto"/>
        <w:left w:val="none" w:sz="0" w:space="0" w:color="auto"/>
        <w:bottom w:val="none" w:sz="0" w:space="0" w:color="auto"/>
        <w:right w:val="none" w:sz="0" w:space="0" w:color="auto"/>
      </w:divBdr>
    </w:div>
    <w:div w:id="514267384">
      <w:bodyDiv w:val="1"/>
      <w:marLeft w:val="0"/>
      <w:marRight w:val="0"/>
      <w:marTop w:val="0"/>
      <w:marBottom w:val="0"/>
      <w:divBdr>
        <w:top w:val="none" w:sz="0" w:space="0" w:color="auto"/>
        <w:left w:val="none" w:sz="0" w:space="0" w:color="auto"/>
        <w:bottom w:val="none" w:sz="0" w:space="0" w:color="auto"/>
        <w:right w:val="none" w:sz="0" w:space="0" w:color="auto"/>
      </w:divBdr>
    </w:div>
    <w:div w:id="514928994">
      <w:bodyDiv w:val="1"/>
      <w:marLeft w:val="0"/>
      <w:marRight w:val="0"/>
      <w:marTop w:val="0"/>
      <w:marBottom w:val="0"/>
      <w:divBdr>
        <w:top w:val="none" w:sz="0" w:space="0" w:color="auto"/>
        <w:left w:val="none" w:sz="0" w:space="0" w:color="auto"/>
        <w:bottom w:val="none" w:sz="0" w:space="0" w:color="auto"/>
        <w:right w:val="none" w:sz="0" w:space="0" w:color="auto"/>
      </w:divBdr>
    </w:div>
    <w:div w:id="522985197">
      <w:bodyDiv w:val="1"/>
      <w:marLeft w:val="0"/>
      <w:marRight w:val="0"/>
      <w:marTop w:val="0"/>
      <w:marBottom w:val="0"/>
      <w:divBdr>
        <w:top w:val="none" w:sz="0" w:space="0" w:color="auto"/>
        <w:left w:val="none" w:sz="0" w:space="0" w:color="auto"/>
        <w:bottom w:val="none" w:sz="0" w:space="0" w:color="auto"/>
        <w:right w:val="none" w:sz="0" w:space="0" w:color="auto"/>
      </w:divBdr>
    </w:div>
    <w:div w:id="536045252">
      <w:bodyDiv w:val="1"/>
      <w:marLeft w:val="0"/>
      <w:marRight w:val="0"/>
      <w:marTop w:val="0"/>
      <w:marBottom w:val="0"/>
      <w:divBdr>
        <w:top w:val="none" w:sz="0" w:space="0" w:color="auto"/>
        <w:left w:val="none" w:sz="0" w:space="0" w:color="auto"/>
        <w:bottom w:val="none" w:sz="0" w:space="0" w:color="auto"/>
        <w:right w:val="none" w:sz="0" w:space="0" w:color="auto"/>
      </w:divBdr>
    </w:div>
    <w:div w:id="567615532">
      <w:bodyDiv w:val="1"/>
      <w:marLeft w:val="0"/>
      <w:marRight w:val="0"/>
      <w:marTop w:val="0"/>
      <w:marBottom w:val="0"/>
      <w:divBdr>
        <w:top w:val="none" w:sz="0" w:space="0" w:color="auto"/>
        <w:left w:val="none" w:sz="0" w:space="0" w:color="auto"/>
        <w:bottom w:val="none" w:sz="0" w:space="0" w:color="auto"/>
        <w:right w:val="none" w:sz="0" w:space="0" w:color="auto"/>
      </w:divBdr>
    </w:div>
    <w:div w:id="580024638">
      <w:bodyDiv w:val="1"/>
      <w:marLeft w:val="0"/>
      <w:marRight w:val="0"/>
      <w:marTop w:val="0"/>
      <w:marBottom w:val="0"/>
      <w:divBdr>
        <w:top w:val="none" w:sz="0" w:space="0" w:color="auto"/>
        <w:left w:val="none" w:sz="0" w:space="0" w:color="auto"/>
        <w:bottom w:val="none" w:sz="0" w:space="0" w:color="auto"/>
        <w:right w:val="none" w:sz="0" w:space="0" w:color="auto"/>
      </w:divBdr>
    </w:div>
    <w:div w:id="593511269">
      <w:bodyDiv w:val="1"/>
      <w:marLeft w:val="0"/>
      <w:marRight w:val="0"/>
      <w:marTop w:val="0"/>
      <w:marBottom w:val="0"/>
      <w:divBdr>
        <w:top w:val="none" w:sz="0" w:space="0" w:color="auto"/>
        <w:left w:val="none" w:sz="0" w:space="0" w:color="auto"/>
        <w:bottom w:val="none" w:sz="0" w:space="0" w:color="auto"/>
        <w:right w:val="none" w:sz="0" w:space="0" w:color="auto"/>
      </w:divBdr>
    </w:div>
    <w:div w:id="617179523">
      <w:bodyDiv w:val="1"/>
      <w:marLeft w:val="0"/>
      <w:marRight w:val="0"/>
      <w:marTop w:val="0"/>
      <w:marBottom w:val="0"/>
      <w:divBdr>
        <w:top w:val="none" w:sz="0" w:space="0" w:color="auto"/>
        <w:left w:val="none" w:sz="0" w:space="0" w:color="auto"/>
        <w:bottom w:val="none" w:sz="0" w:space="0" w:color="auto"/>
        <w:right w:val="none" w:sz="0" w:space="0" w:color="auto"/>
      </w:divBdr>
    </w:div>
    <w:div w:id="677276437">
      <w:bodyDiv w:val="1"/>
      <w:marLeft w:val="0"/>
      <w:marRight w:val="0"/>
      <w:marTop w:val="0"/>
      <w:marBottom w:val="0"/>
      <w:divBdr>
        <w:top w:val="none" w:sz="0" w:space="0" w:color="auto"/>
        <w:left w:val="none" w:sz="0" w:space="0" w:color="auto"/>
        <w:bottom w:val="none" w:sz="0" w:space="0" w:color="auto"/>
        <w:right w:val="none" w:sz="0" w:space="0" w:color="auto"/>
      </w:divBdr>
    </w:div>
    <w:div w:id="739402189">
      <w:bodyDiv w:val="1"/>
      <w:marLeft w:val="0"/>
      <w:marRight w:val="0"/>
      <w:marTop w:val="0"/>
      <w:marBottom w:val="0"/>
      <w:divBdr>
        <w:top w:val="none" w:sz="0" w:space="0" w:color="auto"/>
        <w:left w:val="none" w:sz="0" w:space="0" w:color="auto"/>
        <w:bottom w:val="none" w:sz="0" w:space="0" w:color="auto"/>
        <w:right w:val="none" w:sz="0" w:space="0" w:color="auto"/>
      </w:divBdr>
    </w:div>
    <w:div w:id="754857716">
      <w:bodyDiv w:val="1"/>
      <w:marLeft w:val="0"/>
      <w:marRight w:val="0"/>
      <w:marTop w:val="0"/>
      <w:marBottom w:val="0"/>
      <w:divBdr>
        <w:top w:val="none" w:sz="0" w:space="0" w:color="auto"/>
        <w:left w:val="none" w:sz="0" w:space="0" w:color="auto"/>
        <w:bottom w:val="none" w:sz="0" w:space="0" w:color="auto"/>
        <w:right w:val="none" w:sz="0" w:space="0" w:color="auto"/>
      </w:divBdr>
    </w:div>
    <w:div w:id="792872187">
      <w:bodyDiv w:val="1"/>
      <w:marLeft w:val="0"/>
      <w:marRight w:val="0"/>
      <w:marTop w:val="0"/>
      <w:marBottom w:val="0"/>
      <w:divBdr>
        <w:top w:val="none" w:sz="0" w:space="0" w:color="auto"/>
        <w:left w:val="none" w:sz="0" w:space="0" w:color="auto"/>
        <w:bottom w:val="none" w:sz="0" w:space="0" w:color="auto"/>
        <w:right w:val="none" w:sz="0" w:space="0" w:color="auto"/>
      </w:divBdr>
    </w:div>
    <w:div w:id="802962485">
      <w:bodyDiv w:val="1"/>
      <w:marLeft w:val="0"/>
      <w:marRight w:val="0"/>
      <w:marTop w:val="0"/>
      <w:marBottom w:val="0"/>
      <w:divBdr>
        <w:top w:val="none" w:sz="0" w:space="0" w:color="auto"/>
        <w:left w:val="none" w:sz="0" w:space="0" w:color="auto"/>
        <w:bottom w:val="none" w:sz="0" w:space="0" w:color="auto"/>
        <w:right w:val="none" w:sz="0" w:space="0" w:color="auto"/>
      </w:divBdr>
    </w:div>
    <w:div w:id="804348816">
      <w:bodyDiv w:val="1"/>
      <w:marLeft w:val="0"/>
      <w:marRight w:val="0"/>
      <w:marTop w:val="0"/>
      <w:marBottom w:val="0"/>
      <w:divBdr>
        <w:top w:val="none" w:sz="0" w:space="0" w:color="auto"/>
        <w:left w:val="none" w:sz="0" w:space="0" w:color="auto"/>
        <w:bottom w:val="none" w:sz="0" w:space="0" w:color="auto"/>
        <w:right w:val="none" w:sz="0" w:space="0" w:color="auto"/>
      </w:divBdr>
    </w:div>
    <w:div w:id="810635983">
      <w:bodyDiv w:val="1"/>
      <w:marLeft w:val="0"/>
      <w:marRight w:val="0"/>
      <w:marTop w:val="0"/>
      <w:marBottom w:val="0"/>
      <w:divBdr>
        <w:top w:val="none" w:sz="0" w:space="0" w:color="auto"/>
        <w:left w:val="none" w:sz="0" w:space="0" w:color="auto"/>
        <w:bottom w:val="none" w:sz="0" w:space="0" w:color="auto"/>
        <w:right w:val="none" w:sz="0" w:space="0" w:color="auto"/>
      </w:divBdr>
    </w:div>
    <w:div w:id="827016428">
      <w:bodyDiv w:val="1"/>
      <w:marLeft w:val="0"/>
      <w:marRight w:val="0"/>
      <w:marTop w:val="0"/>
      <w:marBottom w:val="0"/>
      <w:divBdr>
        <w:top w:val="none" w:sz="0" w:space="0" w:color="auto"/>
        <w:left w:val="none" w:sz="0" w:space="0" w:color="auto"/>
        <w:bottom w:val="none" w:sz="0" w:space="0" w:color="auto"/>
        <w:right w:val="none" w:sz="0" w:space="0" w:color="auto"/>
      </w:divBdr>
    </w:div>
    <w:div w:id="841624968">
      <w:bodyDiv w:val="1"/>
      <w:marLeft w:val="0"/>
      <w:marRight w:val="0"/>
      <w:marTop w:val="0"/>
      <w:marBottom w:val="0"/>
      <w:divBdr>
        <w:top w:val="none" w:sz="0" w:space="0" w:color="auto"/>
        <w:left w:val="none" w:sz="0" w:space="0" w:color="auto"/>
        <w:bottom w:val="none" w:sz="0" w:space="0" w:color="auto"/>
        <w:right w:val="none" w:sz="0" w:space="0" w:color="auto"/>
      </w:divBdr>
    </w:div>
    <w:div w:id="848714910">
      <w:bodyDiv w:val="1"/>
      <w:marLeft w:val="0"/>
      <w:marRight w:val="0"/>
      <w:marTop w:val="0"/>
      <w:marBottom w:val="0"/>
      <w:divBdr>
        <w:top w:val="none" w:sz="0" w:space="0" w:color="auto"/>
        <w:left w:val="none" w:sz="0" w:space="0" w:color="auto"/>
        <w:bottom w:val="none" w:sz="0" w:space="0" w:color="auto"/>
        <w:right w:val="none" w:sz="0" w:space="0" w:color="auto"/>
      </w:divBdr>
    </w:div>
    <w:div w:id="853692473">
      <w:bodyDiv w:val="1"/>
      <w:marLeft w:val="0"/>
      <w:marRight w:val="0"/>
      <w:marTop w:val="0"/>
      <w:marBottom w:val="0"/>
      <w:divBdr>
        <w:top w:val="none" w:sz="0" w:space="0" w:color="auto"/>
        <w:left w:val="none" w:sz="0" w:space="0" w:color="auto"/>
        <w:bottom w:val="none" w:sz="0" w:space="0" w:color="auto"/>
        <w:right w:val="none" w:sz="0" w:space="0" w:color="auto"/>
      </w:divBdr>
    </w:div>
    <w:div w:id="894894532">
      <w:bodyDiv w:val="1"/>
      <w:marLeft w:val="0"/>
      <w:marRight w:val="0"/>
      <w:marTop w:val="0"/>
      <w:marBottom w:val="0"/>
      <w:divBdr>
        <w:top w:val="none" w:sz="0" w:space="0" w:color="auto"/>
        <w:left w:val="none" w:sz="0" w:space="0" w:color="auto"/>
        <w:bottom w:val="none" w:sz="0" w:space="0" w:color="auto"/>
        <w:right w:val="none" w:sz="0" w:space="0" w:color="auto"/>
      </w:divBdr>
    </w:div>
    <w:div w:id="911548331">
      <w:bodyDiv w:val="1"/>
      <w:marLeft w:val="0"/>
      <w:marRight w:val="0"/>
      <w:marTop w:val="0"/>
      <w:marBottom w:val="0"/>
      <w:divBdr>
        <w:top w:val="none" w:sz="0" w:space="0" w:color="auto"/>
        <w:left w:val="none" w:sz="0" w:space="0" w:color="auto"/>
        <w:bottom w:val="none" w:sz="0" w:space="0" w:color="auto"/>
        <w:right w:val="none" w:sz="0" w:space="0" w:color="auto"/>
      </w:divBdr>
    </w:div>
    <w:div w:id="911694342">
      <w:bodyDiv w:val="1"/>
      <w:marLeft w:val="0"/>
      <w:marRight w:val="0"/>
      <w:marTop w:val="0"/>
      <w:marBottom w:val="0"/>
      <w:divBdr>
        <w:top w:val="none" w:sz="0" w:space="0" w:color="auto"/>
        <w:left w:val="none" w:sz="0" w:space="0" w:color="auto"/>
        <w:bottom w:val="none" w:sz="0" w:space="0" w:color="auto"/>
        <w:right w:val="none" w:sz="0" w:space="0" w:color="auto"/>
      </w:divBdr>
    </w:div>
    <w:div w:id="917324430">
      <w:bodyDiv w:val="1"/>
      <w:marLeft w:val="0"/>
      <w:marRight w:val="0"/>
      <w:marTop w:val="0"/>
      <w:marBottom w:val="0"/>
      <w:divBdr>
        <w:top w:val="none" w:sz="0" w:space="0" w:color="auto"/>
        <w:left w:val="none" w:sz="0" w:space="0" w:color="auto"/>
        <w:bottom w:val="none" w:sz="0" w:space="0" w:color="auto"/>
        <w:right w:val="none" w:sz="0" w:space="0" w:color="auto"/>
      </w:divBdr>
    </w:div>
    <w:div w:id="989481032">
      <w:bodyDiv w:val="1"/>
      <w:marLeft w:val="0"/>
      <w:marRight w:val="0"/>
      <w:marTop w:val="0"/>
      <w:marBottom w:val="0"/>
      <w:divBdr>
        <w:top w:val="none" w:sz="0" w:space="0" w:color="auto"/>
        <w:left w:val="none" w:sz="0" w:space="0" w:color="auto"/>
        <w:bottom w:val="none" w:sz="0" w:space="0" w:color="auto"/>
        <w:right w:val="none" w:sz="0" w:space="0" w:color="auto"/>
      </w:divBdr>
    </w:div>
    <w:div w:id="1064335749">
      <w:bodyDiv w:val="1"/>
      <w:marLeft w:val="0"/>
      <w:marRight w:val="0"/>
      <w:marTop w:val="0"/>
      <w:marBottom w:val="0"/>
      <w:divBdr>
        <w:top w:val="none" w:sz="0" w:space="0" w:color="auto"/>
        <w:left w:val="none" w:sz="0" w:space="0" w:color="auto"/>
        <w:bottom w:val="none" w:sz="0" w:space="0" w:color="auto"/>
        <w:right w:val="none" w:sz="0" w:space="0" w:color="auto"/>
      </w:divBdr>
    </w:div>
    <w:div w:id="1091317764">
      <w:bodyDiv w:val="1"/>
      <w:marLeft w:val="0"/>
      <w:marRight w:val="0"/>
      <w:marTop w:val="0"/>
      <w:marBottom w:val="0"/>
      <w:divBdr>
        <w:top w:val="none" w:sz="0" w:space="0" w:color="auto"/>
        <w:left w:val="none" w:sz="0" w:space="0" w:color="auto"/>
        <w:bottom w:val="none" w:sz="0" w:space="0" w:color="auto"/>
        <w:right w:val="none" w:sz="0" w:space="0" w:color="auto"/>
      </w:divBdr>
    </w:div>
    <w:div w:id="1128741738">
      <w:bodyDiv w:val="1"/>
      <w:marLeft w:val="0"/>
      <w:marRight w:val="0"/>
      <w:marTop w:val="0"/>
      <w:marBottom w:val="0"/>
      <w:divBdr>
        <w:top w:val="none" w:sz="0" w:space="0" w:color="auto"/>
        <w:left w:val="none" w:sz="0" w:space="0" w:color="auto"/>
        <w:bottom w:val="none" w:sz="0" w:space="0" w:color="auto"/>
        <w:right w:val="none" w:sz="0" w:space="0" w:color="auto"/>
      </w:divBdr>
    </w:div>
    <w:div w:id="1158233076">
      <w:bodyDiv w:val="1"/>
      <w:marLeft w:val="0"/>
      <w:marRight w:val="0"/>
      <w:marTop w:val="0"/>
      <w:marBottom w:val="0"/>
      <w:divBdr>
        <w:top w:val="none" w:sz="0" w:space="0" w:color="auto"/>
        <w:left w:val="none" w:sz="0" w:space="0" w:color="auto"/>
        <w:bottom w:val="none" w:sz="0" w:space="0" w:color="auto"/>
        <w:right w:val="none" w:sz="0" w:space="0" w:color="auto"/>
      </w:divBdr>
    </w:div>
    <w:div w:id="1161240307">
      <w:bodyDiv w:val="1"/>
      <w:marLeft w:val="0"/>
      <w:marRight w:val="0"/>
      <w:marTop w:val="0"/>
      <w:marBottom w:val="0"/>
      <w:divBdr>
        <w:top w:val="none" w:sz="0" w:space="0" w:color="auto"/>
        <w:left w:val="none" w:sz="0" w:space="0" w:color="auto"/>
        <w:bottom w:val="none" w:sz="0" w:space="0" w:color="auto"/>
        <w:right w:val="none" w:sz="0" w:space="0" w:color="auto"/>
      </w:divBdr>
    </w:div>
    <w:div w:id="1181889787">
      <w:bodyDiv w:val="1"/>
      <w:marLeft w:val="0"/>
      <w:marRight w:val="0"/>
      <w:marTop w:val="0"/>
      <w:marBottom w:val="0"/>
      <w:divBdr>
        <w:top w:val="none" w:sz="0" w:space="0" w:color="auto"/>
        <w:left w:val="none" w:sz="0" w:space="0" w:color="auto"/>
        <w:bottom w:val="none" w:sz="0" w:space="0" w:color="auto"/>
        <w:right w:val="none" w:sz="0" w:space="0" w:color="auto"/>
      </w:divBdr>
    </w:div>
    <w:div w:id="1199859405">
      <w:bodyDiv w:val="1"/>
      <w:marLeft w:val="0"/>
      <w:marRight w:val="0"/>
      <w:marTop w:val="0"/>
      <w:marBottom w:val="0"/>
      <w:divBdr>
        <w:top w:val="none" w:sz="0" w:space="0" w:color="auto"/>
        <w:left w:val="none" w:sz="0" w:space="0" w:color="auto"/>
        <w:bottom w:val="none" w:sz="0" w:space="0" w:color="auto"/>
        <w:right w:val="none" w:sz="0" w:space="0" w:color="auto"/>
      </w:divBdr>
    </w:div>
    <w:div w:id="1424034223">
      <w:bodyDiv w:val="1"/>
      <w:marLeft w:val="0"/>
      <w:marRight w:val="0"/>
      <w:marTop w:val="0"/>
      <w:marBottom w:val="0"/>
      <w:divBdr>
        <w:top w:val="none" w:sz="0" w:space="0" w:color="auto"/>
        <w:left w:val="none" w:sz="0" w:space="0" w:color="auto"/>
        <w:bottom w:val="none" w:sz="0" w:space="0" w:color="auto"/>
        <w:right w:val="none" w:sz="0" w:space="0" w:color="auto"/>
      </w:divBdr>
    </w:div>
    <w:div w:id="1442527801">
      <w:bodyDiv w:val="1"/>
      <w:marLeft w:val="0"/>
      <w:marRight w:val="0"/>
      <w:marTop w:val="0"/>
      <w:marBottom w:val="0"/>
      <w:divBdr>
        <w:top w:val="none" w:sz="0" w:space="0" w:color="auto"/>
        <w:left w:val="none" w:sz="0" w:space="0" w:color="auto"/>
        <w:bottom w:val="none" w:sz="0" w:space="0" w:color="auto"/>
        <w:right w:val="none" w:sz="0" w:space="0" w:color="auto"/>
      </w:divBdr>
    </w:div>
    <w:div w:id="1465005211">
      <w:bodyDiv w:val="1"/>
      <w:marLeft w:val="0"/>
      <w:marRight w:val="0"/>
      <w:marTop w:val="0"/>
      <w:marBottom w:val="0"/>
      <w:divBdr>
        <w:top w:val="none" w:sz="0" w:space="0" w:color="auto"/>
        <w:left w:val="none" w:sz="0" w:space="0" w:color="auto"/>
        <w:bottom w:val="none" w:sz="0" w:space="0" w:color="auto"/>
        <w:right w:val="none" w:sz="0" w:space="0" w:color="auto"/>
      </w:divBdr>
    </w:div>
    <w:div w:id="1484853801">
      <w:bodyDiv w:val="1"/>
      <w:marLeft w:val="0"/>
      <w:marRight w:val="0"/>
      <w:marTop w:val="0"/>
      <w:marBottom w:val="0"/>
      <w:divBdr>
        <w:top w:val="none" w:sz="0" w:space="0" w:color="auto"/>
        <w:left w:val="none" w:sz="0" w:space="0" w:color="auto"/>
        <w:bottom w:val="none" w:sz="0" w:space="0" w:color="auto"/>
        <w:right w:val="none" w:sz="0" w:space="0" w:color="auto"/>
      </w:divBdr>
    </w:div>
    <w:div w:id="1532449354">
      <w:bodyDiv w:val="1"/>
      <w:marLeft w:val="0"/>
      <w:marRight w:val="0"/>
      <w:marTop w:val="0"/>
      <w:marBottom w:val="0"/>
      <w:divBdr>
        <w:top w:val="none" w:sz="0" w:space="0" w:color="auto"/>
        <w:left w:val="none" w:sz="0" w:space="0" w:color="auto"/>
        <w:bottom w:val="none" w:sz="0" w:space="0" w:color="auto"/>
        <w:right w:val="none" w:sz="0" w:space="0" w:color="auto"/>
      </w:divBdr>
    </w:div>
    <w:div w:id="1595431445">
      <w:bodyDiv w:val="1"/>
      <w:marLeft w:val="0"/>
      <w:marRight w:val="0"/>
      <w:marTop w:val="0"/>
      <w:marBottom w:val="0"/>
      <w:divBdr>
        <w:top w:val="none" w:sz="0" w:space="0" w:color="auto"/>
        <w:left w:val="none" w:sz="0" w:space="0" w:color="auto"/>
        <w:bottom w:val="none" w:sz="0" w:space="0" w:color="auto"/>
        <w:right w:val="none" w:sz="0" w:space="0" w:color="auto"/>
      </w:divBdr>
    </w:div>
    <w:div w:id="1601597548">
      <w:bodyDiv w:val="1"/>
      <w:marLeft w:val="0"/>
      <w:marRight w:val="0"/>
      <w:marTop w:val="0"/>
      <w:marBottom w:val="0"/>
      <w:divBdr>
        <w:top w:val="none" w:sz="0" w:space="0" w:color="auto"/>
        <w:left w:val="none" w:sz="0" w:space="0" w:color="auto"/>
        <w:bottom w:val="none" w:sz="0" w:space="0" w:color="auto"/>
        <w:right w:val="none" w:sz="0" w:space="0" w:color="auto"/>
      </w:divBdr>
    </w:div>
    <w:div w:id="1774326165">
      <w:bodyDiv w:val="1"/>
      <w:marLeft w:val="0"/>
      <w:marRight w:val="0"/>
      <w:marTop w:val="0"/>
      <w:marBottom w:val="0"/>
      <w:divBdr>
        <w:top w:val="none" w:sz="0" w:space="0" w:color="auto"/>
        <w:left w:val="none" w:sz="0" w:space="0" w:color="auto"/>
        <w:bottom w:val="none" w:sz="0" w:space="0" w:color="auto"/>
        <w:right w:val="none" w:sz="0" w:space="0" w:color="auto"/>
      </w:divBdr>
    </w:div>
    <w:div w:id="1832334804">
      <w:bodyDiv w:val="1"/>
      <w:marLeft w:val="0"/>
      <w:marRight w:val="0"/>
      <w:marTop w:val="0"/>
      <w:marBottom w:val="0"/>
      <w:divBdr>
        <w:top w:val="none" w:sz="0" w:space="0" w:color="auto"/>
        <w:left w:val="none" w:sz="0" w:space="0" w:color="auto"/>
        <w:bottom w:val="none" w:sz="0" w:space="0" w:color="auto"/>
        <w:right w:val="none" w:sz="0" w:space="0" w:color="auto"/>
      </w:divBdr>
    </w:div>
    <w:div w:id="1838306198">
      <w:bodyDiv w:val="1"/>
      <w:marLeft w:val="0"/>
      <w:marRight w:val="0"/>
      <w:marTop w:val="0"/>
      <w:marBottom w:val="0"/>
      <w:divBdr>
        <w:top w:val="none" w:sz="0" w:space="0" w:color="auto"/>
        <w:left w:val="none" w:sz="0" w:space="0" w:color="auto"/>
        <w:bottom w:val="none" w:sz="0" w:space="0" w:color="auto"/>
        <w:right w:val="none" w:sz="0" w:space="0" w:color="auto"/>
      </w:divBdr>
    </w:div>
    <w:div w:id="1895699365">
      <w:bodyDiv w:val="1"/>
      <w:marLeft w:val="0"/>
      <w:marRight w:val="0"/>
      <w:marTop w:val="0"/>
      <w:marBottom w:val="0"/>
      <w:divBdr>
        <w:top w:val="none" w:sz="0" w:space="0" w:color="auto"/>
        <w:left w:val="none" w:sz="0" w:space="0" w:color="auto"/>
        <w:bottom w:val="none" w:sz="0" w:space="0" w:color="auto"/>
        <w:right w:val="none" w:sz="0" w:space="0" w:color="auto"/>
      </w:divBdr>
    </w:div>
    <w:div w:id="1927766602">
      <w:bodyDiv w:val="1"/>
      <w:marLeft w:val="0"/>
      <w:marRight w:val="0"/>
      <w:marTop w:val="0"/>
      <w:marBottom w:val="0"/>
      <w:divBdr>
        <w:top w:val="none" w:sz="0" w:space="0" w:color="auto"/>
        <w:left w:val="none" w:sz="0" w:space="0" w:color="auto"/>
        <w:bottom w:val="none" w:sz="0" w:space="0" w:color="auto"/>
        <w:right w:val="none" w:sz="0" w:space="0" w:color="auto"/>
      </w:divBdr>
    </w:div>
    <w:div w:id="1951089578">
      <w:bodyDiv w:val="1"/>
      <w:marLeft w:val="0"/>
      <w:marRight w:val="0"/>
      <w:marTop w:val="0"/>
      <w:marBottom w:val="0"/>
      <w:divBdr>
        <w:top w:val="none" w:sz="0" w:space="0" w:color="auto"/>
        <w:left w:val="none" w:sz="0" w:space="0" w:color="auto"/>
        <w:bottom w:val="none" w:sz="0" w:space="0" w:color="auto"/>
        <w:right w:val="none" w:sz="0" w:space="0" w:color="auto"/>
      </w:divBdr>
    </w:div>
    <w:div w:id="2018534879">
      <w:bodyDiv w:val="1"/>
      <w:marLeft w:val="0"/>
      <w:marRight w:val="0"/>
      <w:marTop w:val="0"/>
      <w:marBottom w:val="0"/>
      <w:divBdr>
        <w:top w:val="none" w:sz="0" w:space="0" w:color="auto"/>
        <w:left w:val="none" w:sz="0" w:space="0" w:color="auto"/>
        <w:bottom w:val="none" w:sz="0" w:space="0" w:color="auto"/>
        <w:right w:val="none" w:sz="0" w:space="0" w:color="auto"/>
      </w:divBdr>
    </w:div>
    <w:div w:id="2018968021">
      <w:bodyDiv w:val="1"/>
      <w:marLeft w:val="0"/>
      <w:marRight w:val="0"/>
      <w:marTop w:val="0"/>
      <w:marBottom w:val="0"/>
      <w:divBdr>
        <w:top w:val="none" w:sz="0" w:space="0" w:color="auto"/>
        <w:left w:val="none" w:sz="0" w:space="0" w:color="auto"/>
        <w:bottom w:val="none" w:sz="0" w:space="0" w:color="auto"/>
        <w:right w:val="none" w:sz="0" w:space="0" w:color="auto"/>
      </w:divBdr>
    </w:div>
    <w:div w:id="214364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D40C1-F696-49AB-A10F-AABAA60C4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2237</Words>
  <Characters>13424</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Wojdynski</dc:creator>
  <cp:keywords/>
  <dc:description/>
  <cp:lastModifiedBy>Ewa Kwiatkowska</cp:lastModifiedBy>
  <cp:revision>5</cp:revision>
  <cp:lastPrinted>2023-08-16T11:16:00Z</cp:lastPrinted>
  <dcterms:created xsi:type="dcterms:W3CDTF">2024-06-20T05:05:00Z</dcterms:created>
  <dcterms:modified xsi:type="dcterms:W3CDTF">2024-07-01T07:00:00Z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b76bfc29c0f2dd091fb5c2a903dba929f49be678961ff30b630bcbb41477f1b2</vt:lpwstr>
  </property>
</Properties>
</file>