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A" w:rsidRDefault="007078FE">
      <w:pPr>
        <w:pStyle w:val="Bezodstpw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4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:rsidR="00812DDA" w:rsidRDefault="007078FE">
      <w:pPr>
        <w:pStyle w:val="Bezodstpw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812DDA" w:rsidRDefault="00812DDA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812DDA" w:rsidRDefault="007078FE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zobowiązany jest do podania parametrów w jednostkach wskazanych w niniejszym opisie.</w:t>
      </w:r>
    </w:p>
    <w:p w:rsidR="00812DDA" w:rsidRDefault="007078FE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gwarantuje niniejszym, że sprzęt jest fabrycznie nowy (rok produkcji: </w:t>
      </w:r>
      <w:r>
        <w:rPr>
          <w:rFonts w:asciiTheme="minorHAnsi" w:hAnsiTheme="minorHAnsi" w:cstheme="minorHAnsi"/>
          <w:sz w:val="18"/>
          <w:szCs w:val="18"/>
        </w:rPr>
        <w:t xml:space="preserve"> 2022), </w:t>
      </w:r>
      <w:r>
        <w:rPr>
          <w:rFonts w:asciiTheme="minorHAnsi" w:hAnsiTheme="minorHAnsi" w:cstheme="minorHAnsi"/>
          <w:sz w:val="18"/>
          <w:szCs w:val="18"/>
        </w:rPr>
        <w:t xml:space="preserve">nieużywany, kompletny i do jego uruchomienia oraz stosowania zgodnie z przeznaczeniem nie jest konieczny zakup dodatkowych elementów i akcesoriów. Urządzenie ani jego część składowa, wyposażenie, itd. nie jest sprzętem </w:t>
      </w:r>
      <w:proofErr w:type="spellStart"/>
      <w:r>
        <w:rPr>
          <w:rFonts w:asciiTheme="minorHAnsi" w:hAnsiTheme="minorHAnsi" w:cstheme="minorHAnsi"/>
          <w:sz w:val="18"/>
          <w:szCs w:val="18"/>
        </w:rPr>
        <w:t>rekondycjonowanym</w:t>
      </w:r>
      <w:proofErr w:type="spellEnd"/>
      <w:r>
        <w:rPr>
          <w:rFonts w:asciiTheme="minorHAnsi" w:hAnsiTheme="minorHAnsi" w:cstheme="minorHAnsi"/>
          <w:sz w:val="18"/>
          <w:szCs w:val="18"/>
        </w:rPr>
        <w:t>, powystawowym i nie</w:t>
      </w:r>
      <w:r>
        <w:rPr>
          <w:rFonts w:asciiTheme="minorHAnsi" w:hAnsiTheme="minorHAnsi" w:cstheme="minorHAnsi"/>
          <w:sz w:val="18"/>
          <w:szCs w:val="18"/>
        </w:rPr>
        <w:t xml:space="preserve"> był wykorzystywany wcześniej przez innego użytkownika.</w:t>
      </w:r>
    </w:p>
    <w:p w:rsidR="00812DDA" w:rsidRDefault="00812DD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12DDA" w:rsidRDefault="00812DD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12DDA" w:rsidRDefault="007078F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Deduplikator</w:t>
      </w:r>
      <w:proofErr w:type="spellEnd"/>
    </w:p>
    <w:p w:rsidR="00812DDA" w:rsidRDefault="00812DDA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7"/>
        <w:gridCol w:w="4253"/>
      </w:tblGrid>
      <w:tr w:rsidR="00812DDA">
        <w:trPr>
          <w:trHeight w:val="28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DDA">
        <w:trPr>
          <w:trHeight w:val="28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DDA">
        <w:trPr>
          <w:trHeight w:val="28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DDA">
        <w:trPr>
          <w:trHeight w:val="28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 w:rsidP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odać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2DDA" w:rsidRDefault="00812DD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134"/>
        <w:gridCol w:w="1842"/>
        <w:gridCol w:w="1843"/>
      </w:tblGrid>
      <w:tr w:rsidR="00812DDA">
        <w:trPr>
          <w:trHeight w:val="7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oferować przestrzeń min. 16TB netto (powierzchni użytkowej) bez uwzględniania mechanizmów protekcji.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powinno umożliwiać rozbudowę o warstwę typu CLOUD dedykowaną do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długotrwałego przechowywania danych (tzw.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Long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Term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Retention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– dane o określonej retencji (zgodnie z założoną polityka retencyjną), bez pośrednictwa dodatkowych urządzeń (typu GATEWAY) powinny zostać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przemigrowane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(w postaci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zdeduplikowanej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na dodatkową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warstwę, wymagane wsparcie dla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AWS oraz Microsoft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Azure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Wymagana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enkrypcja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danych przechowywanych na warstwie typu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Cloud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Wymagane dostarczenie licencji na przestrzeń min. 60TB netto dla warstwy CLOUD. Wymagana funkcjonalność powinna oficjalnie wspie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rać przez eksploatowaną przez Zamawiającego aplikację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Backup and Replication.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posiadać minimum:</w:t>
            </w:r>
          </w:p>
          <w:p w:rsidR="00812DDA" w:rsidRDefault="007078FE">
            <w:pPr>
              <w:pStyle w:val="Default"/>
              <w:widowControl w:val="0"/>
              <w:numPr>
                <w:ilvl w:val="1"/>
                <w:numId w:val="6"/>
              </w:numPr>
              <w:ind w:left="356" w:hanging="284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porty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Eth 10 Gb/s SFP+</w:t>
            </w:r>
          </w:p>
          <w:p w:rsidR="00812DDA" w:rsidRDefault="007078FE">
            <w:pPr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 xml:space="preserve">wymagana obsada wszystkich portów wkładkami, wymagana możliwość obsługi każdym z w/w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 xml:space="preserve">portów protokołów  CIFS, NFS,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deduplikacja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 xml:space="preserve"> na źródle.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musi umożliwiać jednoczesny dostęp wszystkimi poniższymi protokołami: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ind w:left="356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CIFS, NFS,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ind w:left="356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zapewniającym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źródle, wymagane wsparcie dla eksploatowanej przez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Zamawiającego aplikacji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Backup and Replication,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ind w:left="356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VTL (min. 10 jednocześnie)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 przypadku doposażenia w kartę FC).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Wymagane jest dostarczenie licencji, pozwalającej na jednoczesną obsługę protokołów CIFS, NFS,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źródle, VTL  do oferowanej pojemności urządzenia.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Oferowane pojedyncze urządzenie musi osiągać zagregowaną wydajność (dla maksymalnej konfiguracji) protokołami: 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7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NFS co najmniej 10 TB/h (dane podawane przez producenta) 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7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 najmniej 20 TB/h z wykorzystaniem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źródle.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pozwalać na jednoczesną obsługę minimum 250 strumieni w tym jednocześnie: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zapis danych minimum 150 strumieniami,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 danych minimum 50 strumieniami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replikacja minimum 50 strumieniami,</w:t>
            </w:r>
          </w:p>
          <w:p w:rsidR="00812DDA" w:rsidRDefault="007078FE">
            <w:pPr>
              <w:pStyle w:val="Default"/>
              <w:widowControl w:val="0"/>
              <w:ind w:left="45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pochodzących z różnych aplikacji oraz dowolnych protokołów (CIFS, NFS, VTL,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źródle) oraz dowolnych interfejsów (FC, LAN) w tym samym czasie. 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Wymienione wartości 250 jednoczesnych strumieni dla wszystki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 protokołów (czyli jednocześnie 150 dla zapisu i jednocześnie 50 strumieni dla odczytu i jednocześnie 50 strumieni dla replikacji) musi mieścić w przedziale oficjalnie rekomendowanym i wspieranym przez producenta urządzenia.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Wszystkie zapisywane strumien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ie muszą podlegać globalnej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przed zapisem na dysk (in-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jak opisano w niniejszej specyfikacji.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mieć możliwość emulacji następujących bibliotek taśmowych: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Storage Tek L180</w:t>
            </w:r>
          </w:p>
          <w:p w:rsidR="00812DDA" w:rsidRDefault="007078FE">
            <w:pPr>
              <w:pStyle w:val="Default"/>
              <w:widowControl w:val="0"/>
              <w:ind w:left="45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IBM TS 3500.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Tak,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mieć możliwość emulacji napędów taśmowych  min. LTO5 oraz LTO7.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umożliwiać (w przypadku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VTL’a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 emulację minimum  250 napędów, emulację min. 30 000 slotów w przypadku poj.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biblioteki  taśmowej oraz emulację sumarycznie min.  60 000 slotów.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deduplikować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dane in-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przed zapisem na nośnik dyskowy. Na wewnętrznych dyskach urządzenia nie mogą być zapisywane dane w oryginalnej postaci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niezdeduplikowanej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z jakiegokolwiek fragmentu strumienia danych przychodzącego do urządzenia.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Technologia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musi wykorzystywać algorytm bazujący na zmiennym, dynamicznym bloku jednak o wielkości nie większej niż 12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kB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Algorytm ten musi samoczynnie i automatycznie dopasowywać się do otrzymywanego strumienia danych co oznacza, że urządzenie musi dzielić otrzymany pojedynczy strumień danych na bloki o różnej długości, bez konieczności podejmowania czynności mających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celu ustalenie predefiniowanej długości bloków używanych do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danych określonego typu.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zmiennym, dynamicznym blokiem oznacza, że wielkość każdego bloku (na jaki są dzielone dane pojedynczego strumienia backupowego) może być inna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niż poprzedniego oraz jest indywidualnie ustalana przez algorytm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zastosowany w urządzeniu, oferowane urządzenie nie może dzielić jakiegokolwiek pojedynczego strumienia danych backupowych na bloki o ustalonej, tej samej długości.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posiadać obsługę mechanizmów globalnej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dla danych otrzymywanych jednocześnie wszystkimi protokołami (CIFS, NFS, VTL,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źródle) przechowywanych w obrębie całego urządzenia co oznacza, że przechowywany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urządzeniu fragment danych nie może być ponownie zapisany bez względu na to, jakim protokołem zostanie ponownie otrzymany. 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Wszystkie emulowane jednocześnie w obrębie urządzenia biblioteki wirtualne (VTL) oraz udziały NFS/CIFS również powinny podlegać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globalnej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– blok danych otrzymany i zapisany w wirtualnej bibliotece „A”, nie może zostać ponownie zapisany jeśli trafi do innej wirtualnej biblioteki „B” w obrębie tego samego urządzenia (to samo dotyczy udziałów NFS/CIFS). Przestrzeń składow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ania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zdeduplikowanych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danych musi być jedna dla wszystkich protokołów dostępowych, co oznacza zastosowanie pojedynczej bazy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deduplikatów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bez względu na ilość/rodzaj używanych jednocześnie protokołów dostępowych.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Proces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musi odbywać się in-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– w pamięci urządzenia, przed zapisem danych na nośnik dyskowy. Zapisowi na system dyskowy muszą podlegać tylko unikalne bloki danych nie zapisane jeszcze na system dyskowy urządzenia. Dotyczy to każdego fragmentu przy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chodzących do urządzenia danych.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Proponowane rozwiązanie nie może w żadnej fazie korzystać (w całości lub częściowo) z bufora na składowanie danych w postaci oryginalnej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niezdeduplikowanej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w celu ich późniejszej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wymagana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in-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Wszystkie unikalne bloki przed zapisaniem na dysk muszą być dodatkowo kompresowane.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wspierać (wymagane formalne wsparcie producenta urządzenia), co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najmniej następujące aplikacje: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Backup and Replication, 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RMAN, 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GB"/>
              </w:rPr>
              <w:t>Microsoft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GB"/>
              </w:rPr>
              <w:t>SQL Server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en-GB"/>
              </w:rPr>
              <w:t>Management Studio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.</w:t>
            </w:r>
          </w:p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współpracy z każdą z poniższych aplikacji: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Backup and Replication,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RMAN (dla ORACLE),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Microsoft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SQL Server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Management Studio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Microsoft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SQL),</w:t>
            </w:r>
          </w:p>
          <w:p w:rsidR="00812DDA" w:rsidRDefault="007078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musi umożliwiać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źródle  i przesłanie nowych, nie znajdujących się jeszcze na urządzeniu bloków poprzez sieć LAN.  </w:t>
            </w:r>
          </w:p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danych odbywa się na dowolnym serwerze posiadającym funkcjonalność: Media Agent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/ klienta /serwera RMAN / serwera SQL .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 wyżej wymienionych przypadkach musi zapewniać aby z zabezpieczanych serwerów do urządzenia były transmitowane poprzez sieć LAN jedynie fragmenty danych nie znajdujące się dotychczas na urządzeniu.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przypadku przyjmowania backupów 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Backup and Replication, Oracle RMAN oraz Microsoft MSSQL (przy wykorzystaniu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Microsoft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SQL Server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Management Studio)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urządzenie musi umożliwiać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źródle i przesłanie nowych, nieznajdujących się jeszcze na urządzeniu bloków poprzez sieć FC.  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 wyżej wymienionych przypadkach musi zapewniać aby z serwerów do urządzenia były transmitowane poprze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sieć FC tylko fragmenty danych nie znajdujące się dotychczas na urządzeniu.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przypadku systemów LINUX (min.: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RedHat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oraz Windows urządzenie powinno umożliwiać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źródle na poziomie systemu plików. Dane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kopiowane na wydzielony system plików (bez pośrednictwa aplikacji backupowej) powinny podlegać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Ewentualne licencje nie są przedmiotem tego postępowania.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powinno umożliwiać uruchamianie maszyn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wirtualnych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bezpośrednio z danych backupowych bez konieczności odtwarzania danych, funkcjonalność ta powinna być wspierana przez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Backup and Replication.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funkcjonalność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Balancing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Link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Failover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ob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rębie portów wykorzystywanych przez aplikację backupową, wymagane wsparcie tej funkcjonalności dla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Backup and Replication.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Wymagane wsparcie dla backupów typu Virtual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Synthetics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przypadku eksploatowanej aplikacji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Veeam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Backup and Replication.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przypadku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źródle poprzez sieć IP (LAN oraz WAN), wymagana możliwość szyfrowania komunikacji kluczem minimum 256 bitów.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powinno umożliwiać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zaszyfrowanie przechowywanych danych. Wykonawca w ramach oferty dostarczy wymagane licencje umożliwiające zaszyfrowanie i przechowywanie zaszyfrowanych danych w obrębie maksymalnej pojemności oferowanego urządzenia.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musi wspierać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deduplikację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źródle poprzez sieć FC (SAN) minimum dla następujących systemów operacyjnych: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Windows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Linux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RedHat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SuSE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umożliwiać bezpośrednią replikację danych do drugiego urządzenia takiego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samego typu. Konfiguracja replikacji musi być możliwa w każdym z trybów: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8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jeden do jednego, 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8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wiele do jednego,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8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jeden do wielu,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8"/>
              </w:numPr>
              <w:ind w:left="356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kaskadowej (urządzenie A replikuje dane do urządzenia B, które te same dane replikuje do urządzenia C).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Replikacja musi się odbywa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ć w trybie asynchronicznym. Transmitowane mogą być tylko te fragmenty danych (bloki) które nie znajdują się na docelowym urządzeniu. Ewentualna licencja na replikację nie jest przedmiotem tego postępowania.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umożliwiać wydzielenie określonych portów Ethernet dedykowanych do replikacji.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przypadku  wykorzystania portów Ethernet do replikacji urządzenie musi umożliwiać przyjmowanie backupów, odtwarzanie danych, przyjmowanie strumieni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replikacji, wysyłanie strumienia replikacji tymi samymi portami.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przypadku  replikacji danych między dwoma urządzeniami oferowanego typu, wymagana możliwość kontroli przez: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Microsoft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SQL Server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Management Studio,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muszą być możliwe do uzyskania jednocześnie wszystkie następujące funkcjonalności: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replikacja odbywa się bezpośrednio między dwoma urządzeniami bez udziału serwerów pośredniczących,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replikacji podlegają tylko te fragmenty danych, które nie znajdują się 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docelowym urządzeniu,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replikacja zarządzana jest z poziomu wymaganej aplikacji,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aplikacja posiada informację o obydwu kopiach zapasowych znajdujących się w obydwu urządzeniach bez konieczności przeprowadzania procesu inwentaryzacji.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działać poprawnie przy zapełnieniu danymi na poziomie co najmniej 90%. Dokumentacja urządzenia nie może wskazywać na ew. problemy, obostrzenia, które są efektem zapełnieniu urządzenia  zabezpieczanymi danymi, na poziomie mniejszym niż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90%.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Wymagana możliwość ograniczenia pasma używanego do replikacji między dwoma urządzeniami – oferowane urządzenie powinno być wyposażone w mechanizm umożliwiający zarządzaniem stopnia wykorzystania pasma na potrzeby replikacj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Zdeduplikowane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skompresowane dane przechowywane w obrębie podsystemu dyskowego urządzenia muszą być chronione za pomocą technologii RAID 6 bądź równoważnej.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umożliwiać wykonywanie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SnapShot’ów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czyli umożliwiać zamrożenie obrazu danych (stanu backupów) w urządzeniu na określoną chwilę. Oferowane urządzenie musi również umożliwiać odtworzenie danych ze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Snapshot’u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Odtworzenie danych ze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Snapshot’u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nie może wymagać konieczności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nadpisania danych produkcyjnych jak również nie może oznaczać przerwy w normalnej pracy urządzenia (przyjmowania/odtwarzania backupów).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pozwalać na przechowywanie minimum 500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Snapshotów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jednocześnie w obrębie ofe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rowanej przestrzeni, przy zachowaniu globalnej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deduplikacji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oraz standardowego trybu pracy urządzenia, umożliwiającego wykorzystanie wszystkich dostępnych funkcjonalności.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musi umożliwiać podział na logiczne części.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Dane znajdujące się w każdej logicznej części muszą być między sobą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deduplikowane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(globalna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logicznymi częściami urządzenia).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musi mieć możliwość podziału na minimum 10 logicznych części pracującyc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 równolegle. Producent musi oficjalnie wspierać pracę minimum 10 logicznych części pracujących równolegle z pełną wydajnością urządzenia.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każdej z w/w logicznych części oferowanego urządzenia musi być możliwość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zdefiniowania oddzielnego użytkownika zarządzającego daną logiczną częścią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deduplikatora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Użytkownicy zarządzający logiczną częścią A muszą widzieć tylko i wyłącznie zasoby logicznej części A i nie mogą widzieć żadnych innych zasobów oferowanego urządzenia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możliwość zaprezentowania każdej z logicznych części oferowanego urządzenia, jako niezależnego urządzenia dostępnego za pośrednictwem: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CIFS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NFS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VTL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deduplikacja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źródle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powinno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umożliwiać zdefiniowanie blokady skasowania danych (funkcjonalność WORM). Blokada skasowania danych musi chronić plik w zdefiniowanym czasie przed usunięciem pliku, modyfikacją pliku.</w:t>
            </w:r>
          </w:p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Blokada skasowania danych musi działać w dwóch trybach (do wyboru przez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administratora):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zdjęcia blokady przed upływem ważności danych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możliwości zdjęcia blokady przed upływem ważności danych (COMPLIANCE), w tym wypadku wymagane wsparcie norm SEC 17a-4(f) lub ISO Standard 15489-1 w zakresie ochrony danych</w:t>
            </w:r>
          </w:p>
          <w:p w:rsidR="00812DDA" w:rsidRDefault="007078FE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cje na blokadę usunięcia/zmiany przechowywanych plików muszą być dostarczone wraz z urządzeniem.</w:t>
            </w:r>
          </w:p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 przypadku braku wymaganej funkcjonalności WORM, wymagana dostawa dodatkowej macierzy typu NAS (NFS/CIFS) o pojemności netto trzykrotnie większej od wymaganej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pojemności netto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deduplikatora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(16TB x 3 = 48TB netto), o wydajności nie mniejszej od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deduplikatora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będącego przedmiotem zapytania, wyposażona w funkcjonalność WORM macierz musi spełniać wymagania dot. ochrony danych określone normami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SEC 17a-4(f) lub ISO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Standard 15489-1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 każdym przypadku wymagana możliwość automatycznego uruchamiania blokady (podczas zapisu) WORM dla danych zapisywanych na obszar objęty działaniem wspomnianej blokady. W każdym przypadku wymagana również możliwość używania blokady WORM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obrazu danych uzyskanych poprzez użycie wymaganej funkcjonalności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SnapShot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812DDA" w:rsidRDefault="00812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musi mieć możliwość przechowywania danych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niezmienialnych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video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grafika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nagrania dźwiękowe</w:t>
            </w:r>
          </w:p>
          <w:p w:rsidR="00812DDA" w:rsidRDefault="007078FE">
            <w:pPr>
              <w:pStyle w:val="Akapitzlist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pliki pdf</w:t>
            </w:r>
          </w:p>
          <w:p w:rsidR="00812DDA" w:rsidRDefault="007078FE">
            <w:pPr>
              <w:ind w:left="4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udziałach CIFS/NFS.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musi weryfikować dane po zapisie (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weryfikacja wszystkich zabezpieczanych danych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backup’owych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Każda zapisana na dyskach porcja danych  musi być odczytana i porównana z danymi otrzymanymi przez urządzenie.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Powyższa weryfikacja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powinna być realizowana w locie, czyli przed usunięciem z pamięci oryginalnych danych (otrzymanych z aplikacji backupowej), musi być realizowana w trybie ciągłym (a nie ad-hoc), wymagane parametry wydajnościowe urządzenia  muszą uwzględniać  tę funkcjonaln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ość.</w:t>
            </w:r>
          </w:p>
          <w:p w:rsidR="00812DDA" w:rsidRDefault="007078FE">
            <w:pPr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Wymagane potwierdzenie opisanej funkcjonalności w oficjalnej dokumentacji producenta oferowanego urządzenia.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automatycznie usuwać przeterminowane dane (bloki danych nie należące do backupów o aktualnej retencji) w procesie czyszczenia.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Proces usuwania przeterminowanych danych (czyszczenia) nie może uniemożliwiać pracy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procesów backupu / odtwarzania danych (zapisu / odczytu danych z zewnątrz do systemu).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Wymagana możliwość zdefiniowania maksymalnego obciążenia urządzenia procesem usuwania przeterminowanych danych (poziomu obciążenia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procesora).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Wymagana możliwość zdefiniowania harmonogramu wg. którego  wykonywany jest proces usuwania przeterminowanych danych (czyszczenia), realizowany równolegle z procesami backup/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restore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replication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Standardowa częstotliwość usuwania przeterminowanych danych (czyszczenie) nie powinna być większa niż 1 raz na tydzień - minimalizując czas w którym backupy/odtworzenia narażone są na spowolnienie.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musi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systemowo (wbudowana funkcjonalność) umożliwiać realizację 1-ego procesu czyszczenia dopiero po przekroczeniu 75% zajętości oferowanej przestrzeni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Urządzenie musi mieć możliwość zarządzania poprzez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Interfejs graficzny dostępny z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przeglądarki internetowej</w:t>
            </w:r>
          </w:p>
          <w:p w:rsidR="00812DDA" w:rsidRDefault="007078FE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Poprzez linię komend (CLI) dostępną z poziomu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ssh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secure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shell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Oprogramowanie do zarządzania musi rezydować na oferowanym urządzeniu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deduplikacyjnym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Oferowane urządzenie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musi mieć możliwość sprawdzenia pakietu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upgrade’ującego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firmware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urządzenia (GUI lub CLI), to znaczy sprawdzenia czy nowa wersja systemu nie spowoduje problemów z urządzeniem.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Urządzenie musi być rozwiązaniem kompletnym,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appliancem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sprzętowym pochodzącym od jednego producenta. Zamawiający nie dopuszcza stosowania rozwiązań typu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gateway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Oferowany typ urządzenia musi być oficjalnie dostępne w ofercie producenta.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Oferowane urządzenie w okresie gwa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rancji winno być objęte wsparciem producenta działającym w trybie NBD. W przypadku uszkodzenia dysku twardego i konieczności jego wymiany w okresie gwarancji na egzemplarz nowy wolny od wad, uszkodzony nośnik pozostaje u Zamawiającego.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Bez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Wszelkie wymagane licencje dostarczone przez Wykonawcę muszą być bezterminowe i wliczone w cenę oferty.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Wykonawca dostarczy urządzenie kompletne i skonfigurowane do potrzeb Zamawiającego, dostarczy wszelkie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niezbędne kable (sieciowe, zasilające itp.), wkładki, uchwyty w celu montażu w istniejącej szafie RACK i połączenia z istniejącą infrastrukturą IT Zamawiającego.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2DD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DA" w:rsidRDefault="007078FE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Zaoferowany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deduplikator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musi pochodzić z oficjalnego kanału sprze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daży producenta. Serwis zaoferowanego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deduplikatora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będzie realizowany przez Producenta i/lub we współpracy z Autoryzowanym Partnerem Serwisowym Producenta.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DA" w:rsidRDefault="007078F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 punktacji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DA" w:rsidRDefault="00812DD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12DDA" w:rsidRDefault="00812DDA"/>
    <w:sectPr w:rsidR="00812D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A47"/>
    <w:multiLevelType w:val="multilevel"/>
    <w:tmpl w:val="A20079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B27D3"/>
    <w:multiLevelType w:val="multilevel"/>
    <w:tmpl w:val="0E506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B51C46"/>
    <w:multiLevelType w:val="multilevel"/>
    <w:tmpl w:val="A54273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B4132F"/>
    <w:multiLevelType w:val="multilevel"/>
    <w:tmpl w:val="5440835A"/>
    <w:lvl w:ilvl="0">
      <w:start w:val="1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2B73D0"/>
    <w:multiLevelType w:val="multilevel"/>
    <w:tmpl w:val="A424891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23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E82161"/>
    <w:multiLevelType w:val="multilevel"/>
    <w:tmpl w:val="815E8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5C07832"/>
    <w:multiLevelType w:val="multilevel"/>
    <w:tmpl w:val="B62EA1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D477C2"/>
    <w:multiLevelType w:val="multilevel"/>
    <w:tmpl w:val="34CA6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70138E"/>
    <w:multiLevelType w:val="multilevel"/>
    <w:tmpl w:val="B4CEC9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A"/>
    <w:rsid w:val="007078FE"/>
    <w:rsid w:val="008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52EA"/>
  <w15:docId w15:val="{BCA4E1DE-D44D-4B5C-B55C-F7A2CC1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1F3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401F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99"/>
    <w:qFormat/>
    <w:rsid w:val="009401F3"/>
    <w:pPr>
      <w:widowControl w:val="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qFormat/>
    <w:rsid w:val="000D5D4D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2716</Words>
  <Characters>16300</Characters>
  <Application>Microsoft Office Word</Application>
  <DocSecurity>0</DocSecurity>
  <Lines>135</Lines>
  <Paragraphs>37</Paragraphs>
  <ScaleCrop>false</ScaleCrop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dc:description/>
  <cp:lastModifiedBy>Katarzyna Seweryn-Michalska</cp:lastModifiedBy>
  <cp:revision>7</cp:revision>
  <dcterms:created xsi:type="dcterms:W3CDTF">2022-09-05T07:17:00Z</dcterms:created>
  <dcterms:modified xsi:type="dcterms:W3CDTF">2022-09-09T10:32:00Z</dcterms:modified>
  <dc:language>pl-PL</dc:language>
</cp:coreProperties>
</file>