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AE" w:rsidRPr="00134218" w:rsidRDefault="00D872AE" w:rsidP="00D872AE">
      <w:pPr>
        <w:pStyle w:val="Etykietadokumentu"/>
        <w:ind w:left="360"/>
        <w:outlineLvl w:val="0"/>
        <w:rPr>
          <w:sz w:val="20"/>
        </w:rPr>
      </w:pPr>
      <w:r>
        <w:rPr>
          <w:sz w:val="28"/>
        </w:rPr>
        <w:t xml:space="preserve"> SZAFA METALOWA W klasIE A SZT.6</w:t>
      </w:r>
    </w:p>
    <w:p w:rsidR="00D872AE" w:rsidRDefault="00D872AE" w:rsidP="00D872AE">
      <w:pPr>
        <w:tabs>
          <w:tab w:val="left" w:pos="12049"/>
        </w:tabs>
        <w:rPr>
          <w:rFonts w:ascii="Candara" w:hAnsi="Candara" w:cs="Tahoma"/>
          <w:b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rFonts w:ascii="Tahoma" w:hAnsi="Tahoma" w:cs="Tahoma"/>
          <w:b/>
          <w:shadow/>
          <w:color w:val="800000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1020445" cy="2105025"/>
            <wp:effectExtent l="19050" t="0" r="8255" b="0"/>
            <wp:wrapTight wrapText="bothSides">
              <wp:wrapPolygon edited="0">
                <wp:start x="-403" y="0"/>
                <wp:lineTo x="-403" y="21502"/>
                <wp:lineTo x="21775" y="21502"/>
                <wp:lineTo x="21775" y="0"/>
                <wp:lineTo x="-403" y="0"/>
              </wp:wrapPolygon>
            </wp:wrapTight>
            <wp:docPr id="2" name="Obraz 1" descr="MS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S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                                                                                                  </w:t>
      </w: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</w:t>
      </w: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                                                                                                  MS1/A</w:t>
      </w:r>
    </w:p>
    <w:p w:rsidR="00D872AE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</w:p>
    <w:p w:rsidR="00D872AE" w:rsidRPr="00B61773" w:rsidRDefault="00D872AE" w:rsidP="00D872AE">
      <w:pPr>
        <w:tabs>
          <w:tab w:val="left" w:pos="12049"/>
        </w:tabs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                                                                                           </w:t>
      </w:r>
      <w:r w:rsidRPr="00F03CD7">
        <w:rPr>
          <w:b/>
          <w:bCs/>
          <w:iCs/>
          <w:sz w:val="18"/>
          <w:szCs w:val="18"/>
        </w:rPr>
        <w:t>(zdjęcie poglądowe)</w:t>
      </w:r>
      <w:r>
        <w:rPr>
          <w:b/>
          <w:bCs/>
          <w:iCs/>
          <w:sz w:val="18"/>
          <w:szCs w:val="18"/>
        </w:rPr>
        <w:t xml:space="preserve">                           </w:t>
      </w:r>
      <w:bookmarkStart w:id="0" w:name="_Toc456608119"/>
    </w:p>
    <w:p w:rsidR="00D872AE" w:rsidRDefault="00D872AE" w:rsidP="00D872AE">
      <w:pPr>
        <w:pStyle w:val="Nagwek1"/>
        <w:rPr>
          <w:rFonts w:ascii="Tahoma" w:hAnsi="Tahoma"/>
          <w:sz w:val="24"/>
          <w:szCs w:val="24"/>
        </w:rPr>
      </w:pPr>
    </w:p>
    <w:p w:rsidR="00D872AE" w:rsidRPr="008A668F" w:rsidRDefault="00D872AE" w:rsidP="00D872AE">
      <w:pPr>
        <w:pStyle w:val="Nagwek1"/>
        <w:rPr>
          <w:rFonts w:ascii="Tahoma" w:hAnsi="Tahoma"/>
          <w:sz w:val="24"/>
          <w:szCs w:val="24"/>
        </w:rPr>
      </w:pPr>
      <w:r w:rsidRPr="008A668F">
        <w:rPr>
          <w:rFonts w:ascii="Tahoma" w:hAnsi="Tahoma"/>
          <w:sz w:val="24"/>
          <w:szCs w:val="24"/>
        </w:rPr>
        <w:t>Zastosowanie</w:t>
      </w:r>
      <w:bookmarkEnd w:id="0"/>
    </w:p>
    <w:p w:rsidR="00D872AE" w:rsidRDefault="00D872AE" w:rsidP="00D872A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FA346E">
        <w:rPr>
          <w:rFonts w:ascii="Tahoma" w:hAnsi="Tahoma" w:cs="Tahoma"/>
          <w:sz w:val="18"/>
          <w:szCs w:val="18"/>
        </w:rPr>
        <w:t>Szafy przeznaczone do przechowywania</w:t>
      </w:r>
      <w:r w:rsidRPr="00FA346E">
        <w:rPr>
          <w:rFonts w:ascii="Tahoma" w:hAnsi="Tahoma" w:cs="Tahoma"/>
          <w:color w:val="000000"/>
          <w:sz w:val="18"/>
          <w:szCs w:val="18"/>
        </w:rPr>
        <w:t xml:space="preserve"> dokumentów i materiałów niejawnych, oznaczonych klauzulą „poufne”. Najpopularniejsze szafy wykorzystywane w pomieszczeniach biurowych i archiwach. Dostosowane do przechowywania ważnych dokumentów, akt, a także sprzętu komputerowego. </w:t>
      </w:r>
    </w:p>
    <w:p w:rsidR="00D872AE" w:rsidRPr="003D4C62" w:rsidRDefault="00D872AE" w:rsidP="00D872AE">
      <w:pPr>
        <w:jc w:val="both"/>
        <w:rPr>
          <w:rFonts w:ascii="Tahoma" w:hAnsi="Tahoma" w:cs="Tahoma"/>
          <w:color w:val="0070C0"/>
          <w:sz w:val="18"/>
          <w:szCs w:val="18"/>
        </w:rPr>
      </w:pPr>
    </w:p>
    <w:p w:rsidR="00D872AE" w:rsidRPr="008A668F" w:rsidRDefault="00D872AE" w:rsidP="00D872AE">
      <w:pPr>
        <w:pStyle w:val="Nagwek1"/>
        <w:rPr>
          <w:rFonts w:ascii="Tahoma" w:hAnsi="Tahoma"/>
          <w:sz w:val="24"/>
          <w:szCs w:val="24"/>
        </w:rPr>
      </w:pPr>
      <w:bookmarkStart w:id="1" w:name="_Toc456608120"/>
      <w:r w:rsidRPr="008A668F">
        <w:rPr>
          <w:rFonts w:ascii="Tahoma" w:hAnsi="Tahoma"/>
          <w:sz w:val="24"/>
          <w:szCs w:val="24"/>
        </w:rPr>
        <w:t>Certyfikat do przechowywania</w:t>
      </w:r>
      <w:bookmarkEnd w:id="1"/>
    </w:p>
    <w:p w:rsidR="00D872AE" w:rsidRPr="007A1699" w:rsidRDefault="00D872AE" w:rsidP="00D872AE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FA346E">
        <w:rPr>
          <w:rFonts w:ascii="Tahoma" w:hAnsi="Tahoma" w:cs="Tahoma"/>
          <w:sz w:val="18"/>
          <w:szCs w:val="18"/>
          <w:lang w:eastAsia="pl-PL"/>
        </w:rPr>
        <w:t>Dokumentów tajnych zgodnie z zarządzeniem NR57/MON Ministra Obrony Narodowej z dnia 16 grudnia 2011 r. oraz NR46/MON Ministra Obrony Narodowej z dnia 24 grudnia 2013 r., klasa A.</w:t>
      </w:r>
    </w:p>
    <w:p w:rsidR="00D872AE" w:rsidRPr="000A35CC" w:rsidRDefault="00D872AE" w:rsidP="00D872AE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FA346E">
        <w:rPr>
          <w:rFonts w:ascii="Tahoma" w:hAnsi="Tahoma" w:cs="Tahoma"/>
          <w:color w:val="000000"/>
          <w:sz w:val="18"/>
          <w:szCs w:val="18"/>
          <w:lang w:eastAsia="pl-PL"/>
        </w:rPr>
        <w:t>Dokumentów poufnych, zastrzeżonych, Typ 1 (</w:t>
      </w:r>
      <w:proofErr w:type="spellStart"/>
      <w:r w:rsidRPr="00FA346E">
        <w:rPr>
          <w:rFonts w:ascii="Tahoma" w:hAnsi="Tahoma" w:cs="Tahoma"/>
          <w:color w:val="000000"/>
          <w:sz w:val="18"/>
          <w:szCs w:val="18"/>
          <w:lang w:eastAsia="pl-PL"/>
        </w:rPr>
        <w:t>wg</w:t>
      </w:r>
      <w:proofErr w:type="spellEnd"/>
      <w:r w:rsidRPr="00FA346E">
        <w:rPr>
          <w:rFonts w:ascii="Tahoma" w:hAnsi="Tahoma" w:cs="Tahoma"/>
          <w:color w:val="000000"/>
          <w:sz w:val="18"/>
          <w:szCs w:val="18"/>
          <w:lang w:eastAsia="pl-PL"/>
        </w:rPr>
        <w:t xml:space="preserve">. Rozporządzenia Rady Ministrów </w:t>
      </w:r>
      <w:r w:rsidRPr="007A1699">
        <w:rPr>
          <w:rFonts w:ascii="Tahoma" w:hAnsi="Tahoma" w:cs="Tahoma"/>
          <w:color w:val="000000"/>
          <w:sz w:val="18"/>
          <w:szCs w:val="18"/>
          <w:lang w:eastAsia="pl-PL"/>
        </w:rPr>
        <w:t>z dnia 29 maja 2012 r.).</w:t>
      </w:r>
      <w:bookmarkStart w:id="2" w:name="_Toc456608122"/>
    </w:p>
    <w:p w:rsidR="00D872AE" w:rsidRPr="008A668F" w:rsidRDefault="00D872AE" w:rsidP="00D872AE">
      <w:pPr>
        <w:pStyle w:val="Nagwek1"/>
        <w:rPr>
          <w:rFonts w:ascii="Tahoma" w:hAnsi="Tahoma"/>
          <w:sz w:val="24"/>
          <w:szCs w:val="24"/>
        </w:rPr>
      </w:pPr>
      <w:r w:rsidRPr="008A668F">
        <w:rPr>
          <w:rFonts w:ascii="Tahoma" w:hAnsi="Tahoma"/>
          <w:sz w:val="24"/>
          <w:szCs w:val="24"/>
        </w:rPr>
        <w:t>Opis produktu</w:t>
      </w:r>
      <w:bookmarkEnd w:id="2"/>
    </w:p>
    <w:p w:rsidR="00D872AE" w:rsidRPr="00FA346E" w:rsidRDefault="00D872AE" w:rsidP="00D872AE">
      <w:pPr>
        <w:pStyle w:val="Pa0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FA346E">
        <w:rPr>
          <w:rFonts w:ascii="Tahoma" w:hAnsi="Tahoma" w:cs="Tahoma"/>
          <w:color w:val="000000"/>
          <w:sz w:val="18"/>
          <w:szCs w:val="18"/>
        </w:rPr>
        <w:t xml:space="preserve">Korpus i drzwi wykonane z </w:t>
      </w:r>
      <w:r>
        <w:rPr>
          <w:rFonts w:ascii="Tahoma" w:hAnsi="Tahoma" w:cs="Tahoma"/>
          <w:color w:val="000000"/>
          <w:sz w:val="18"/>
          <w:szCs w:val="18"/>
        </w:rPr>
        <w:t>blachy stalowej o grubości 1 mm</w:t>
      </w:r>
      <w:r w:rsidRPr="007E0562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FA346E">
        <w:rPr>
          <w:rFonts w:ascii="Tahoma" w:hAnsi="Tahoma" w:cs="Tahoma"/>
          <w:color w:val="000000"/>
          <w:sz w:val="18"/>
          <w:szCs w:val="18"/>
        </w:rPr>
        <w:t xml:space="preserve"> nadającej odpowiednią sztywność oraz zabezpieczonej </w:t>
      </w:r>
      <w:r w:rsidRPr="00D872AE">
        <w:rPr>
          <w:rFonts w:asciiTheme="minorHAnsi" w:hAnsiTheme="minorHAnsi" w:cstheme="minorHAnsi"/>
          <w:color w:val="000000"/>
          <w:sz w:val="18"/>
          <w:szCs w:val="18"/>
        </w:rPr>
        <w:t>przed</w:t>
      </w:r>
      <w:r w:rsidRPr="00FA346E">
        <w:rPr>
          <w:rFonts w:ascii="Tahoma" w:hAnsi="Tahoma" w:cs="Tahoma"/>
          <w:color w:val="000000"/>
          <w:sz w:val="18"/>
          <w:szCs w:val="18"/>
        </w:rPr>
        <w:t xml:space="preserve"> korozją.</w:t>
      </w:r>
    </w:p>
    <w:p w:rsidR="00D872AE" w:rsidRPr="00FA346E" w:rsidRDefault="00D872AE" w:rsidP="00D872AE">
      <w:pPr>
        <w:pStyle w:val="Pa0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FA346E">
        <w:rPr>
          <w:rFonts w:ascii="Tahoma" w:hAnsi="Tahoma" w:cs="Tahoma"/>
          <w:sz w:val="18"/>
          <w:szCs w:val="18"/>
        </w:rPr>
        <w:t>Wyposażone w zamek kluczowy mechaniczny kl. A wg normy EN 1300, zabezpieczony przed działaniem destrukcyjnym, w tym przed przewierceniem</w:t>
      </w:r>
      <w:r w:rsidRPr="00FA346E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D872AE" w:rsidRPr="00FA346E" w:rsidRDefault="00D872AE" w:rsidP="00D872AE">
      <w:pPr>
        <w:pStyle w:val="myslniki"/>
        <w:numPr>
          <w:ilvl w:val="0"/>
          <w:numId w:val="1"/>
        </w:numPr>
        <w:spacing w:line="276" w:lineRule="auto"/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FA346E">
        <w:rPr>
          <w:rFonts w:ascii="Tahoma" w:hAnsi="Tahoma" w:cs="Tahoma"/>
          <w:sz w:val="18"/>
          <w:szCs w:val="18"/>
        </w:rPr>
        <w:t>Drzwi szafy blokowane mechanizmem ryglowym na trzech krawędziach</w:t>
      </w:r>
      <w:r w:rsidRPr="00FA346E">
        <w:rPr>
          <w:rFonts w:ascii="Tahoma" w:hAnsi="Tahoma" w:cs="Tahoma"/>
          <w:sz w:val="18"/>
          <w:szCs w:val="18"/>
          <w:lang w:val="pl-PL"/>
        </w:rPr>
        <w:t>,</w:t>
      </w:r>
      <w:r w:rsidRPr="00FA346E">
        <w:rPr>
          <w:rFonts w:ascii="Tahoma" w:hAnsi="Tahoma" w:cs="Tahoma"/>
          <w:sz w:val="18"/>
          <w:szCs w:val="18"/>
        </w:rPr>
        <w:t xml:space="preserve"> z ryglami o średnicy 12</w:t>
      </w:r>
      <w:r w:rsidRPr="00FA346E">
        <w:rPr>
          <w:rFonts w:ascii="Tahoma" w:hAnsi="Tahoma" w:cs="Tahoma"/>
          <w:sz w:val="18"/>
          <w:szCs w:val="18"/>
          <w:lang w:val="pl-PL"/>
        </w:rPr>
        <w:t xml:space="preserve"> </w:t>
      </w:r>
      <w:r w:rsidRPr="00FA346E">
        <w:rPr>
          <w:rFonts w:ascii="Tahoma" w:hAnsi="Tahoma" w:cs="Tahoma"/>
          <w:sz w:val="18"/>
          <w:szCs w:val="18"/>
        </w:rPr>
        <w:t>mm,  przekroju 112 mm</w:t>
      </w:r>
      <w:r w:rsidRPr="00FA346E">
        <w:rPr>
          <w:rFonts w:ascii="Tahoma" w:hAnsi="Tahoma" w:cs="Tahoma"/>
          <w:sz w:val="18"/>
          <w:szCs w:val="18"/>
          <w:vertAlign w:val="superscript"/>
        </w:rPr>
        <w:t>2</w:t>
      </w:r>
      <w:r w:rsidRPr="00FA346E">
        <w:rPr>
          <w:rFonts w:ascii="Tahoma" w:hAnsi="Tahoma" w:cs="Tahoma"/>
          <w:sz w:val="18"/>
          <w:szCs w:val="18"/>
          <w:lang w:val="pl-PL"/>
        </w:rPr>
        <w:t xml:space="preserve"> </w:t>
      </w:r>
      <w:r w:rsidRPr="00FA346E">
        <w:rPr>
          <w:rFonts w:ascii="Tahoma" w:hAnsi="Tahoma" w:cs="Tahoma"/>
          <w:sz w:val="18"/>
          <w:szCs w:val="18"/>
        </w:rPr>
        <w:t>i rozstawie maksymalnym 450</w:t>
      </w:r>
      <w:r w:rsidRPr="00FA346E">
        <w:rPr>
          <w:rFonts w:ascii="Tahoma" w:hAnsi="Tahoma" w:cs="Tahoma"/>
          <w:sz w:val="18"/>
          <w:szCs w:val="18"/>
          <w:lang w:val="pl-PL"/>
        </w:rPr>
        <w:t xml:space="preserve"> </w:t>
      </w:r>
      <w:r w:rsidRPr="00FA346E">
        <w:rPr>
          <w:rFonts w:ascii="Tahoma" w:hAnsi="Tahoma" w:cs="Tahoma"/>
          <w:sz w:val="18"/>
          <w:szCs w:val="18"/>
        </w:rPr>
        <w:t xml:space="preserve">mm </w:t>
      </w:r>
      <w:r w:rsidRPr="00FA346E">
        <w:rPr>
          <w:rFonts w:ascii="Tahoma" w:hAnsi="Tahoma" w:cs="Tahoma"/>
          <w:sz w:val="18"/>
          <w:szCs w:val="18"/>
          <w:lang w:val="pl-PL"/>
        </w:rPr>
        <w:t xml:space="preserve">- </w:t>
      </w:r>
      <w:r w:rsidRPr="00FA346E">
        <w:rPr>
          <w:rFonts w:ascii="Tahoma" w:hAnsi="Tahoma" w:cs="Tahoma"/>
          <w:sz w:val="18"/>
          <w:szCs w:val="18"/>
        </w:rPr>
        <w:t>w zależności od wymiarów szafy</w:t>
      </w:r>
      <w:r w:rsidRPr="00FA346E">
        <w:rPr>
          <w:rFonts w:ascii="Tahoma" w:hAnsi="Tahoma" w:cs="Tahoma"/>
          <w:sz w:val="18"/>
          <w:szCs w:val="18"/>
          <w:lang w:val="pl-PL"/>
        </w:rPr>
        <w:t>.</w:t>
      </w:r>
    </w:p>
    <w:p w:rsidR="00D872AE" w:rsidRPr="00FA346E" w:rsidRDefault="00D872AE" w:rsidP="00D872AE">
      <w:pPr>
        <w:pStyle w:val="myslniki"/>
        <w:numPr>
          <w:ilvl w:val="0"/>
          <w:numId w:val="1"/>
        </w:numPr>
        <w:spacing w:line="276" w:lineRule="auto"/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FA346E">
        <w:rPr>
          <w:rFonts w:ascii="Tahoma" w:hAnsi="Tahoma" w:cs="Tahoma"/>
          <w:sz w:val="18"/>
          <w:szCs w:val="18"/>
          <w:lang w:val="pl-PL"/>
        </w:rPr>
        <w:t xml:space="preserve">Półki wewnętrzne wykonane z blachy o grubości o,8 mm z regulacją wysokości zawieszenia o maksymalnym obciążeniu 50 </w:t>
      </w:r>
      <w:proofErr w:type="spellStart"/>
      <w:r w:rsidRPr="00FA346E">
        <w:rPr>
          <w:rFonts w:ascii="Tahoma" w:hAnsi="Tahoma" w:cs="Tahoma"/>
          <w:sz w:val="18"/>
          <w:szCs w:val="18"/>
          <w:lang w:val="pl-PL"/>
        </w:rPr>
        <w:t>kg</w:t>
      </w:r>
      <w:proofErr w:type="spellEnd"/>
      <w:r w:rsidRPr="00FA346E">
        <w:rPr>
          <w:rFonts w:ascii="Tahoma" w:hAnsi="Tahoma" w:cs="Tahoma"/>
          <w:sz w:val="18"/>
          <w:szCs w:val="18"/>
          <w:lang w:val="pl-PL"/>
        </w:rPr>
        <w:t>.</w:t>
      </w:r>
    </w:p>
    <w:p w:rsidR="00D872AE" w:rsidRPr="00FA346E" w:rsidRDefault="00D872AE" w:rsidP="00D872AE">
      <w:pPr>
        <w:pStyle w:val="myslniki"/>
        <w:numPr>
          <w:ilvl w:val="0"/>
          <w:numId w:val="1"/>
        </w:numPr>
        <w:spacing w:line="276" w:lineRule="auto"/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FA346E">
        <w:rPr>
          <w:rFonts w:ascii="Tahoma" w:hAnsi="Tahoma" w:cs="Tahoma"/>
          <w:sz w:val="18"/>
          <w:szCs w:val="18"/>
        </w:rPr>
        <w:t>Zawiasy wewnętrzne.</w:t>
      </w:r>
    </w:p>
    <w:p w:rsidR="00D872AE" w:rsidRPr="007E0562" w:rsidRDefault="00D872AE" w:rsidP="00D872AE">
      <w:pPr>
        <w:pStyle w:val="myslniki"/>
        <w:numPr>
          <w:ilvl w:val="0"/>
          <w:numId w:val="1"/>
        </w:numPr>
        <w:spacing w:after="120" w:line="276" w:lineRule="auto"/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FA346E">
        <w:rPr>
          <w:rFonts w:ascii="Tahoma" w:hAnsi="Tahoma" w:cs="Tahoma"/>
          <w:sz w:val="18"/>
          <w:szCs w:val="18"/>
        </w:rPr>
        <w:t>Kąt o</w:t>
      </w:r>
      <w:r>
        <w:rPr>
          <w:rFonts w:ascii="Tahoma" w:hAnsi="Tahoma" w:cs="Tahoma"/>
          <w:sz w:val="18"/>
          <w:szCs w:val="18"/>
        </w:rPr>
        <w:t xml:space="preserve">twarcia drzwi wynosi 120 stopni </w:t>
      </w:r>
    </w:p>
    <w:p w:rsidR="00D872AE" w:rsidRPr="008A668F" w:rsidRDefault="00D872AE" w:rsidP="00D872AE">
      <w:pPr>
        <w:pStyle w:val="Nagwek1"/>
        <w:rPr>
          <w:rFonts w:ascii="Tahoma" w:hAnsi="Tahoma"/>
          <w:sz w:val="24"/>
          <w:szCs w:val="24"/>
        </w:rPr>
      </w:pPr>
      <w:bookmarkStart w:id="3" w:name="_Toc456608123"/>
      <w:r w:rsidRPr="008A668F">
        <w:rPr>
          <w:rFonts w:ascii="Tahoma" w:hAnsi="Tahoma"/>
          <w:sz w:val="24"/>
          <w:szCs w:val="24"/>
        </w:rPr>
        <w:t>Wyposażenie podstawowe</w:t>
      </w:r>
      <w:bookmarkEnd w:id="3"/>
    </w:p>
    <w:p w:rsidR="00D872AE" w:rsidRPr="00F06469" w:rsidRDefault="00D872AE" w:rsidP="00D872AE">
      <w:pPr>
        <w:pStyle w:val="myslniki"/>
        <w:numPr>
          <w:ilvl w:val="0"/>
          <w:numId w:val="2"/>
        </w:numPr>
        <w:spacing w:line="276" w:lineRule="auto"/>
        <w:ind w:left="284" w:hanging="284"/>
        <w:rPr>
          <w:rFonts w:ascii="Tahoma" w:hAnsi="Tahoma" w:cs="Tahoma"/>
          <w:b/>
          <w:sz w:val="18"/>
          <w:szCs w:val="18"/>
          <w:lang w:val="pl-PL"/>
        </w:rPr>
      </w:pPr>
      <w:r w:rsidRPr="00F06469">
        <w:rPr>
          <w:rFonts w:ascii="Tahoma" w:hAnsi="Tahoma" w:cs="Tahoma"/>
          <w:b/>
          <w:sz w:val="18"/>
          <w:szCs w:val="18"/>
        </w:rPr>
        <w:t>Atestowany zamek kluczowy kl. A z dwoma kluczami</w:t>
      </w:r>
      <w:r w:rsidRPr="00F06469">
        <w:rPr>
          <w:rFonts w:ascii="Tahoma" w:hAnsi="Tahoma" w:cs="Tahoma"/>
          <w:b/>
          <w:sz w:val="18"/>
          <w:szCs w:val="18"/>
          <w:lang w:val="pl-PL"/>
        </w:rPr>
        <w:t>.</w:t>
      </w:r>
    </w:p>
    <w:p w:rsidR="00D872AE" w:rsidRPr="00FA346E" w:rsidRDefault="00D872AE" w:rsidP="00D872AE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 p</w:t>
      </w:r>
      <w:r w:rsidRPr="00FA346E">
        <w:rPr>
          <w:rFonts w:ascii="Tahoma" w:hAnsi="Tahoma" w:cs="Tahoma"/>
          <w:sz w:val="18"/>
          <w:szCs w:val="18"/>
        </w:rPr>
        <w:t>ółki.</w:t>
      </w:r>
    </w:p>
    <w:p w:rsidR="00D872AE" w:rsidRDefault="00D872AE" w:rsidP="00D872AE">
      <w:pPr>
        <w:pStyle w:val="myslniki"/>
        <w:numPr>
          <w:ilvl w:val="0"/>
          <w:numId w:val="2"/>
        </w:num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  <w:r w:rsidRPr="00FA346E">
        <w:rPr>
          <w:rFonts w:ascii="Tahoma" w:hAnsi="Tahoma" w:cs="Tahoma"/>
          <w:sz w:val="18"/>
          <w:szCs w:val="18"/>
        </w:rPr>
        <w:t>Instrukcja obsługi i użytkowania wyrobu z kartą gwarancyjną</w:t>
      </w:r>
      <w:r w:rsidRPr="00FA346E">
        <w:rPr>
          <w:rFonts w:ascii="Tahoma" w:hAnsi="Tahoma" w:cs="Tahoma"/>
          <w:sz w:val="18"/>
          <w:szCs w:val="18"/>
          <w:lang w:val="pl-PL"/>
        </w:rPr>
        <w:t>.</w:t>
      </w:r>
      <w:r w:rsidRPr="00FA346E">
        <w:rPr>
          <w:rFonts w:ascii="Tahoma" w:hAnsi="Tahoma" w:cs="Tahoma"/>
          <w:sz w:val="18"/>
          <w:szCs w:val="18"/>
        </w:rPr>
        <w:t xml:space="preserve"> </w:t>
      </w:r>
    </w:p>
    <w:p w:rsidR="00D872AE" w:rsidRPr="008A668F" w:rsidRDefault="00D872AE" w:rsidP="00D872AE">
      <w:pPr>
        <w:pStyle w:val="Nagwek1"/>
        <w:rPr>
          <w:rFonts w:ascii="Tahoma" w:hAnsi="Tahoma"/>
          <w:sz w:val="24"/>
          <w:szCs w:val="24"/>
        </w:rPr>
      </w:pPr>
      <w:bookmarkStart w:id="4" w:name="_Toc456608125"/>
      <w:r w:rsidRPr="008A668F">
        <w:rPr>
          <w:rFonts w:ascii="Tahoma" w:hAnsi="Tahoma"/>
          <w:sz w:val="24"/>
          <w:szCs w:val="24"/>
        </w:rPr>
        <w:lastRenderedPageBreak/>
        <w:t>Standardowe kolory</w:t>
      </w:r>
      <w:bookmarkEnd w:id="4"/>
    </w:p>
    <w:p w:rsidR="00D872AE" w:rsidRPr="003B7C12" w:rsidRDefault="00D872AE" w:rsidP="00D872AE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FA346E">
        <w:rPr>
          <w:rFonts w:ascii="Tahoma" w:hAnsi="Tahoma" w:cs="Tahoma"/>
          <w:color w:val="000000"/>
          <w:sz w:val="18"/>
          <w:szCs w:val="18"/>
        </w:rPr>
        <w:t xml:space="preserve">Jasnoszary RAL 7035. </w:t>
      </w:r>
    </w:p>
    <w:p w:rsidR="00BC171E" w:rsidRDefault="00BC171E"/>
    <w:p w:rsidR="00D872AE" w:rsidRPr="00CD3130" w:rsidRDefault="00D872AE" w:rsidP="00D872AE">
      <w:pPr>
        <w:pStyle w:val="myslniki"/>
        <w:tabs>
          <w:tab w:val="left" w:pos="5850"/>
        </w:tabs>
        <w:suppressAutoHyphens w:val="0"/>
        <w:ind w:left="0" w:firstLine="0"/>
        <w:jc w:val="center"/>
        <w:rPr>
          <w:rFonts w:ascii="Tahoma" w:hAnsi="Tahoma" w:cs="Tahoma"/>
          <w:b/>
          <w:sz w:val="36"/>
          <w:szCs w:val="36"/>
          <w:lang w:val="pl-PL"/>
        </w:rPr>
      </w:pPr>
      <w:r w:rsidRPr="00CD3130">
        <w:rPr>
          <w:rFonts w:ascii="Tahoma" w:hAnsi="Tahoma" w:cs="Tahoma"/>
          <w:b/>
          <w:sz w:val="36"/>
          <w:szCs w:val="36"/>
          <w:lang w:val="pl-PL"/>
        </w:rPr>
        <w:t>WY</w:t>
      </w:r>
      <w:r>
        <w:rPr>
          <w:rFonts w:ascii="Tahoma" w:hAnsi="Tahoma" w:cs="Tahoma"/>
          <w:b/>
          <w:sz w:val="36"/>
          <w:szCs w:val="36"/>
          <w:lang w:val="pl-PL"/>
        </w:rPr>
        <w:t>MIARY</w:t>
      </w:r>
    </w:p>
    <w:p w:rsidR="00D872AE" w:rsidRPr="00E14FF4" w:rsidRDefault="00D872AE" w:rsidP="00D872AE">
      <w:pPr>
        <w:pStyle w:val="myslniki"/>
        <w:tabs>
          <w:tab w:val="left" w:pos="5850"/>
        </w:tabs>
        <w:suppressAutoHyphens w:val="0"/>
        <w:ind w:left="-284" w:firstLine="0"/>
        <w:jc w:val="center"/>
        <w:rPr>
          <w:rFonts w:ascii="Candara" w:hAnsi="Candara" w:cs="Tahoma"/>
          <w:b/>
          <w:color w:val="0070C0"/>
          <w:szCs w:val="24"/>
          <w:lang w:val="pl-PL"/>
        </w:rPr>
      </w:pPr>
    </w:p>
    <w:tbl>
      <w:tblPr>
        <w:tblW w:w="74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709"/>
        <w:gridCol w:w="709"/>
        <w:gridCol w:w="850"/>
        <w:gridCol w:w="851"/>
        <w:gridCol w:w="708"/>
        <w:gridCol w:w="851"/>
        <w:gridCol w:w="850"/>
      </w:tblGrid>
      <w:tr w:rsidR="00D872AE" w:rsidRPr="00525773" w:rsidTr="00D872AE">
        <w:trPr>
          <w:trHeight w:val="315"/>
        </w:trPr>
        <w:tc>
          <w:tcPr>
            <w:tcW w:w="1346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747A9C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2E74B5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985" w:type="dxa"/>
            <w:gridSpan w:val="3"/>
            <w:tcBorders>
              <w:top w:val="single" w:sz="8" w:space="0" w:color="0070C0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Wymiary zewnętrzne [mm]</w:t>
            </w:r>
          </w:p>
        </w:tc>
        <w:tc>
          <w:tcPr>
            <w:tcW w:w="2409" w:type="dxa"/>
            <w:gridSpan w:val="3"/>
            <w:tcBorders>
              <w:top w:val="single" w:sz="8" w:space="0" w:color="0070C0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Wymiary wewnętrzne [mm]</w:t>
            </w:r>
          </w:p>
        </w:tc>
        <w:tc>
          <w:tcPr>
            <w:tcW w:w="851" w:type="dxa"/>
            <w:tcBorders>
              <w:top w:val="single" w:sz="8" w:space="0" w:color="0070C0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 xml:space="preserve">Waga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D872AE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L. pólek</w:t>
            </w:r>
          </w:p>
          <w:p w:rsidR="00D872AE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  <w:p w:rsidR="00D872AE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szt.</w:t>
            </w:r>
          </w:p>
        </w:tc>
      </w:tr>
      <w:tr w:rsidR="00D872AE" w:rsidRPr="00525773" w:rsidTr="00D872AE">
        <w:trPr>
          <w:trHeight w:val="315"/>
        </w:trPr>
        <w:tc>
          <w:tcPr>
            <w:tcW w:w="1346" w:type="dxa"/>
            <w:vMerge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D872AE" w:rsidRPr="00525773" w:rsidRDefault="00D872AE" w:rsidP="005F0ABA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D872AE" w:rsidRPr="00525773" w:rsidRDefault="00D872AE" w:rsidP="005F0A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2577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[kg]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AE" w:rsidRPr="00525773" w:rsidRDefault="00D872AE" w:rsidP="005F0ABA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  <w:tr w:rsidR="00D872AE" w:rsidRPr="00525773" w:rsidTr="00D872AE">
        <w:trPr>
          <w:trHeight w:val="3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Default="00D872AE" w:rsidP="005F0ABA">
            <w:pPr>
              <w:suppressAutoHyphens w:val="0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  <w:p w:rsidR="00D872AE" w:rsidRPr="00854EE1" w:rsidRDefault="00D872AE" w:rsidP="005F0AB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  <w:t>MS1M/A 19</w:t>
            </w:r>
            <w:r w:rsidRPr="00854EE1"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854EE1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19</w:t>
            </w:r>
            <w:r w:rsidRPr="00854EE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854EE1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Pr="00854EE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2B16F5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Pr="002B16F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2B16F5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2B16F5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2B16F5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2AE" w:rsidRDefault="00D872AE" w:rsidP="005F0ABA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  <w:p w:rsidR="00D872AE" w:rsidRPr="002B16F5" w:rsidRDefault="00D872AE" w:rsidP="005F0A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AE" w:rsidRPr="002B16F5" w:rsidRDefault="00D872AE" w:rsidP="005F0ABA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</w:tbl>
    <w:p w:rsidR="00D872AE" w:rsidRDefault="00D872AE" w:rsidP="00D872AE">
      <w:pPr>
        <w:suppressAutoHyphens w:val="0"/>
        <w:rPr>
          <w:rFonts w:ascii="Candara" w:hAnsi="Candara"/>
          <w:color w:val="000000"/>
          <w:sz w:val="16"/>
          <w:szCs w:val="16"/>
          <w:lang w:eastAsia="pl-PL"/>
        </w:rPr>
      </w:pPr>
    </w:p>
    <w:p w:rsidR="00D872AE" w:rsidRPr="00D872AE" w:rsidRDefault="00D872AE" w:rsidP="00D872AE">
      <w:pPr>
        <w:suppressAutoHyphens w:val="0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D872AE">
        <w:rPr>
          <w:rFonts w:ascii="Tahoma" w:hAnsi="Tahoma" w:cs="Tahoma"/>
          <w:color w:val="000000"/>
          <w:sz w:val="16"/>
          <w:szCs w:val="16"/>
          <w:lang w:eastAsia="pl-PL"/>
        </w:rPr>
        <w:t xml:space="preserve">Wymiar zewnętrzny nie obejmuje elementów takich jak zamek, klamka. </w:t>
      </w:r>
    </w:p>
    <w:p w:rsidR="00D872AE" w:rsidRPr="00D872AE" w:rsidRDefault="00D872AE" w:rsidP="00D872AE">
      <w:pPr>
        <w:suppressAutoHyphens w:val="0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D872AE">
        <w:rPr>
          <w:rFonts w:ascii="Tahoma" w:hAnsi="Tahoma" w:cs="Tahoma"/>
          <w:color w:val="000000"/>
          <w:sz w:val="16"/>
          <w:szCs w:val="16"/>
          <w:lang w:eastAsia="pl-PL"/>
        </w:rPr>
        <w:t xml:space="preserve">Może on zostać powiększony o 30-60 </w:t>
      </w:r>
      <w:proofErr w:type="spellStart"/>
      <w:r w:rsidRPr="00D872AE">
        <w:rPr>
          <w:rFonts w:ascii="Tahoma" w:hAnsi="Tahoma" w:cs="Tahoma"/>
          <w:color w:val="000000"/>
          <w:sz w:val="16"/>
          <w:szCs w:val="16"/>
          <w:lang w:eastAsia="pl-PL"/>
        </w:rPr>
        <w:t>mm</w:t>
      </w:r>
      <w:proofErr w:type="spellEnd"/>
      <w:r w:rsidRPr="00D872AE">
        <w:rPr>
          <w:rFonts w:ascii="Tahoma" w:hAnsi="Tahoma" w:cs="Tahoma"/>
          <w:color w:val="000000"/>
          <w:sz w:val="16"/>
          <w:szCs w:val="16"/>
          <w:lang w:eastAsia="pl-PL"/>
        </w:rPr>
        <w:t>.</w:t>
      </w:r>
    </w:p>
    <w:p w:rsidR="00D872AE" w:rsidRPr="00D872AE" w:rsidRDefault="00D872AE" w:rsidP="00D872AE">
      <w:pPr>
        <w:suppressAutoHyphens w:val="0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D872AE">
        <w:rPr>
          <w:rFonts w:ascii="Tahoma" w:hAnsi="Tahoma" w:cs="Tahoma"/>
          <w:color w:val="000000"/>
          <w:sz w:val="16"/>
          <w:szCs w:val="16"/>
          <w:lang w:eastAsia="pl-PL"/>
        </w:rPr>
        <w:t>Wszystkie modele wyposażone w 1 zamek kluczowy kl. A z 2 kluczami.</w:t>
      </w:r>
    </w:p>
    <w:p w:rsidR="00D872AE" w:rsidRPr="00D872AE" w:rsidRDefault="00D872AE" w:rsidP="00D872AE">
      <w:pPr>
        <w:suppressAutoHyphens w:val="0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D872AE">
        <w:rPr>
          <w:rFonts w:ascii="Tahoma" w:hAnsi="Tahoma" w:cs="Tahoma"/>
          <w:color w:val="000000"/>
          <w:sz w:val="16"/>
          <w:szCs w:val="16"/>
          <w:lang w:eastAsia="pl-PL"/>
        </w:rPr>
        <w:t>Wyposażenie podstawowe: zaczepy do półek, instrukcja obsługi wyrobów i zamków, karta gwarancyjna</w:t>
      </w:r>
    </w:p>
    <w:p w:rsidR="00D872AE" w:rsidRDefault="00D872AE" w:rsidP="00D872AE">
      <w:pPr>
        <w:tabs>
          <w:tab w:val="left" w:pos="12049"/>
        </w:tabs>
        <w:outlineLvl w:val="0"/>
        <w:rPr>
          <w:b/>
          <w:bCs/>
          <w:iCs/>
          <w:sz w:val="28"/>
        </w:rPr>
      </w:pPr>
    </w:p>
    <w:p w:rsidR="00D872AE" w:rsidRDefault="00D872AE"/>
    <w:sectPr w:rsidR="00D872AE" w:rsidSect="00B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8pt;height:271.5pt" o:bullet="t">
        <v:imagedata r:id="rId1" o:title="znaczek4"/>
      </v:shape>
    </w:pict>
  </w:numPicBullet>
  <w:abstractNum w:abstractNumId="0">
    <w:nsid w:val="5F9E0854"/>
    <w:multiLevelType w:val="hybridMultilevel"/>
    <w:tmpl w:val="F356CCA8"/>
    <w:lvl w:ilvl="0" w:tplc="C52233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31D94"/>
    <w:multiLevelType w:val="hybridMultilevel"/>
    <w:tmpl w:val="EA5095EE"/>
    <w:lvl w:ilvl="0" w:tplc="F1224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E0879"/>
    <w:multiLevelType w:val="hybridMultilevel"/>
    <w:tmpl w:val="6458EFF2"/>
    <w:lvl w:ilvl="0" w:tplc="F1224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25396"/>
    <w:multiLevelType w:val="hybridMultilevel"/>
    <w:tmpl w:val="D6449A12"/>
    <w:lvl w:ilvl="0" w:tplc="F1224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2AE"/>
    <w:rsid w:val="00BC171E"/>
    <w:rsid w:val="00D8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7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72A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myslniki">
    <w:name w:val="myslniki"/>
    <w:basedOn w:val="Normalny"/>
    <w:rsid w:val="00D872AE"/>
    <w:pPr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szCs w:val="20"/>
      <w:lang w:eastAsia="pl-PL"/>
    </w:rPr>
  </w:style>
  <w:style w:type="paragraph" w:customStyle="1" w:styleId="Etykietadokumentu">
    <w:name w:val="Etykieta dokumentu"/>
    <w:next w:val="Normalny"/>
    <w:rsid w:val="00D872AE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Pa0">
    <w:name w:val="Pa0"/>
    <w:basedOn w:val="Normalny"/>
    <w:next w:val="Normalny"/>
    <w:uiPriority w:val="99"/>
    <w:rsid w:val="00D872AE"/>
    <w:pPr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833694</cp:lastModifiedBy>
  <cp:revision>3</cp:revision>
  <dcterms:created xsi:type="dcterms:W3CDTF">2023-07-10T10:23:00Z</dcterms:created>
  <dcterms:modified xsi:type="dcterms:W3CDTF">2023-07-10T10:32:00Z</dcterms:modified>
</cp:coreProperties>
</file>