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34F7C">
        <w:rPr>
          <w:rFonts w:ascii="Cambria" w:hAnsi="Cambria" w:cs="Tahoma"/>
        </w:rPr>
        <w:t>11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B113BD" w:rsidRPr="00695FEC" w:rsidRDefault="00B113BD" w:rsidP="008A228F">
      <w:pPr>
        <w:jc w:val="both"/>
        <w:rPr>
          <w:rFonts w:ascii="Cambria" w:hAnsi="Cambria" w:cs="Calibri"/>
          <w:color w:val="000000"/>
        </w:rPr>
      </w:pPr>
    </w:p>
    <w:p w:rsidR="00B113BD" w:rsidRDefault="00BC29B1" w:rsidP="00BC29B1">
      <w:pPr>
        <w:jc w:val="both"/>
      </w:pPr>
      <w:r>
        <w:t xml:space="preserve">Umowa powierzenia przetwarzania danych osobowych - załącznik 3a do SWZ </w:t>
      </w:r>
    </w:p>
    <w:p w:rsidR="00B113BD" w:rsidRDefault="00B113BD" w:rsidP="00BC29B1">
      <w:pPr>
        <w:jc w:val="both"/>
      </w:pPr>
    </w:p>
    <w:p w:rsidR="00B113BD" w:rsidRDefault="00BC29B1" w:rsidP="00BC29B1">
      <w:pPr>
        <w:jc w:val="both"/>
      </w:pPr>
      <w:r>
        <w:t xml:space="preserve">Pytanie 1, Zawarcie umowy powierzenia </w:t>
      </w:r>
    </w:p>
    <w:p w:rsidR="00BC29B1" w:rsidRDefault="00BC29B1" w:rsidP="00BC29B1">
      <w:pPr>
        <w:jc w:val="both"/>
      </w:pPr>
      <w:r>
        <w:t xml:space="preserve">Czy Zamawiający dopuszcza możliwość niezawierania umowy powierzenia przetwarzania danych osobowych w przypadku istnienia wiążących umów dot. przetwarzania danych osobowych między Zamawiającym a Wykonawcą? </w:t>
      </w:r>
    </w:p>
    <w:p w:rsidR="00B113BD" w:rsidRPr="00B113BD" w:rsidRDefault="00B113BD" w:rsidP="00BC29B1">
      <w:pPr>
        <w:jc w:val="both"/>
        <w:rPr>
          <w:b/>
        </w:rPr>
      </w:pPr>
      <w:r>
        <w:rPr>
          <w:b/>
        </w:rPr>
        <w:t>Odp. Nie.</w:t>
      </w:r>
    </w:p>
    <w:p w:rsidR="00BC29B1" w:rsidRDefault="00BC29B1" w:rsidP="00BC29B1">
      <w:pPr>
        <w:jc w:val="both"/>
      </w:pPr>
    </w:p>
    <w:p w:rsidR="00BC29B1" w:rsidRDefault="00BC29B1" w:rsidP="00BC29B1">
      <w:pPr>
        <w:jc w:val="both"/>
      </w:pPr>
      <w:r>
        <w:t xml:space="preserve">Pytanie 2, Czas na zgłoszenie naruszenia, §3 ust. 12 Ogólne rozporządzenie o ochronie danych (RODO) nakłada na administratora obowiązek zgłoszenia stwierdzonego naruszenia ochrony danych bez zbędnej zwłoki, nie później niż w ciągu 72h. Wedle Wytycznych Grupy Roboczej art. 29 (https://ec.europa.eu/newsroom/article29/items/612052) termin 72h na zawiadomienie, o którym mowa w art. 33 ust. 1 RODO rozpoczyna swój bieg w przypadku Administratora dopiero od powiadomienia go o tym fakcie przez Podmiot przetwarzający. Proponowany we wzorze umowy powierzenia przetwarzania danych osobowych termin – w zależności od zakresu, rodzaju incydentu naruszenia danych – może być terminem niewystarczającym, niedostosowanym do danej sytuacji faktycznej. Wykonawca proponuje zatem następujące brzmienie §3 ust. 12: “Podmiot przetwarzający jest obowiązany do niezwłocznego, nie dłuższego niż 48 godzin powiadomienia Administratora (...)” </w:t>
      </w:r>
    </w:p>
    <w:p w:rsidR="00B113BD" w:rsidRDefault="00B113BD" w:rsidP="00BC29B1">
      <w:pPr>
        <w:jc w:val="both"/>
      </w:pPr>
      <w:r w:rsidRPr="00B113BD">
        <w:rPr>
          <w:b/>
        </w:rPr>
        <w:t>Odp. Zamawiający nie wyraża zgody</w:t>
      </w:r>
      <w:r>
        <w:rPr>
          <w:b/>
        </w:rPr>
        <w:t xml:space="preserve"> na modyfikację zapisu</w:t>
      </w:r>
      <w:r>
        <w:t>.</w:t>
      </w:r>
    </w:p>
    <w:p w:rsidR="00BC29B1" w:rsidRDefault="00BC29B1" w:rsidP="00BC29B1">
      <w:pPr>
        <w:jc w:val="both"/>
      </w:pPr>
    </w:p>
    <w:p w:rsidR="006770E5" w:rsidRDefault="00BC29B1" w:rsidP="00BC29B1">
      <w:pPr>
        <w:jc w:val="both"/>
      </w:pPr>
      <w:r>
        <w:t>Pytanie 3, Przeprowadzanie audytów, §3 ust. 14 RODO określa, że Podmioty przetwarzające powinny “</w:t>
      </w:r>
      <w:proofErr w:type="spellStart"/>
      <w:r>
        <w:t>umożlwiać</w:t>
      </w:r>
      <w:proofErr w:type="spellEnd"/>
      <w:r>
        <w:t xml:space="preserve"> audyty i przyczyniać się do nich”. Nie oznacza to jednak, że muszą zezwalać na wszelkie audyty przeprowadzane przez </w:t>
      </w:r>
      <w:proofErr w:type="spellStart"/>
      <w:r>
        <w:t>Klinetów</w:t>
      </w:r>
      <w:proofErr w:type="spellEnd"/>
      <w:r>
        <w:t xml:space="preserve">. W związku z tym proponujemy </w:t>
      </w:r>
      <w:proofErr w:type="spellStart"/>
      <w:r>
        <w:t>ninijeszą</w:t>
      </w:r>
      <w:proofErr w:type="spellEnd"/>
      <w:r>
        <w:t xml:space="preserve"> modyfikację §3 ust, 14: “Administrator może przeprowadzić audyt u przetwarzającego by ocenić stopień spełnienie wymagań bezpieczeństwa wymaganych przez RODO, lecz nie częściej niż raz na 12 miesięcy.</w:t>
      </w:r>
    </w:p>
    <w:p w:rsidR="00B113BD" w:rsidRPr="00B113BD" w:rsidRDefault="00B113BD" w:rsidP="00BC29B1">
      <w:pPr>
        <w:jc w:val="both"/>
        <w:rPr>
          <w:b/>
        </w:rPr>
      </w:pPr>
      <w:r w:rsidRPr="00B113BD">
        <w:rPr>
          <w:b/>
        </w:rPr>
        <w:t xml:space="preserve">Odp. Zamawiający nie wyraża zgody na modyfikację zapisu. </w:t>
      </w:r>
    </w:p>
    <w:p w:rsidR="00B113BD" w:rsidRPr="00173B7D" w:rsidRDefault="00B113BD" w:rsidP="00BC29B1">
      <w:pPr>
        <w:jc w:val="both"/>
        <w:rPr>
          <w:rFonts w:asciiTheme="majorHAnsi" w:hAnsiTheme="majorHAnsi"/>
        </w:rPr>
      </w:pPr>
    </w:p>
    <w:p w:rsidR="006770E5" w:rsidRPr="00173B7D" w:rsidRDefault="006770E5" w:rsidP="00E074F3">
      <w:pPr>
        <w:jc w:val="right"/>
        <w:rPr>
          <w:rFonts w:asciiTheme="majorHAnsi" w:hAnsiTheme="majorHAnsi"/>
        </w:rPr>
      </w:pPr>
      <w:bookmarkStart w:id="0" w:name="_GoBack"/>
      <w:bookmarkEnd w:id="0"/>
    </w:p>
    <w:sectPr w:rsidR="006770E5" w:rsidRPr="00173B7D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106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0F0FDB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34F7C"/>
    <w:rsid w:val="00A502AE"/>
    <w:rsid w:val="00A601D9"/>
    <w:rsid w:val="00A720F8"/>
    <w:rsid w:val="00A91C51"/>
    <w:rsid w:val="00AA702D"/>
    <w:rsid w:val="00AB1C62"/>
    <w:rsid w:val="00B113BD"/>
    <w:rsid w:val="00B22A6B"/>
    <w:rsid w:val="00B251EA"/>
    <w:rsid w:val="00B5688A"/>
    <w:rsid w:val="00B64C8E"/>
    <w:rsid w:val="00B71FEF"/>
    <w:rsid w:val="00B83367"/>
    <w:rsid w:val="00B945BF"/>
    <w:rsid w:val="00BB73CB"/>
    <w:rsid w:val="00BC29B1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C2C7A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4651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1537-E909-46CD-B02E-514154BB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User</cp:lastModifiedBy>
  <cp:revision>5</cp:revision>
  <cp:lastPrinted>2024-06-12T08:31:00Z</cp:lastPrinted>
  <dcterms:created xsi:type="dcterms:W3CDTF">2024-06-12T04:22:00Z</dcterms:created>
  <dcterms:modified xsi:type="dcterms:W3CDTF">2024-06-12T08:32:00Z</dcterms:modified>
</cp:coreProperties>
</file>