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CEDA6" w14:textId="15A4278B" w:rsidR="00B71620" w:rsidRDefault="00B71620" w:rsidP="007C2897">
      <w:pPr>
        <w:autoSpaceDE w:val="0"/>
        <w:autoSpaceDN w:val="0"/>
        <w:adjustRightInd w:val="0"/>
        <w:spacing w:after="0"/>
        <w:rPr>
          <w:rFonts w:cs="Arial"/>
          <w:bCs/>
          <w:color w:val="000000"/>
          <w:sz w:val="24"/>
          <w:szCs w:val="24"/>
        </w:rPr>
      </w:pPr>
    </w:p>
    <w:p w14:paraId="64AB70C4" w14:textId="77777777" w:rsidR="00583FBB" w:rsidRPr="00FB0236" w:rsidRDefault="00583FBB" w:rsidP="00583FBB">
      <w:pPr>
        <w:tabs>
          <w:tab w:val="center" w:pos="4536"/>
          <w:tab w:val="right" w:pos="9072"/>
        </w:tabs>
        <w:jc w:val="right"/>
        <w:rPr>
          <w:i/>
        </w:rPr>
      </w:pPr>
      <w:r w:rsidRPr="00FB0236">
        <w:rPr>
          <w:rFonts w:ascii="Arial" w:eastAsiaTheme="minorHAnsi" w:hAnsi="Arial" w:cs="Arial"/>
          <w:i/>
          <w:sz w:val="20"/>
          <w:szCs w:val="20"/>
        </w:rPr>
        <w:t xml:space="preserve">Załącznik </w:t>
      </w:r>
      <w:r>
        <w:rPr>
          <w:rFonts w:ascii="Arial" w:eastAsiaTheme="minorHAnsi" w:hAnsi="Arial" w:cs="Arial"/>
          <w:i/>
          <w:sz w:val="20"/>
          <w:szCs w:val="20"/>
        </w:rPr>
        <w:t xml:space="preserve">nr 1 </w:t>
      </w:r>
      <w:r w:rsidRPr="00FB0236">
        <w:rPr>
          <w:rFonts w:ascii="Arial" w:eastAsiaTheme="minorHAnsi" w:hAnsi="Arial" w:cs="Arial"/>
          <w:i/>
          <w:sz w:val="20"/>
          <w:szCs w:val="20"/>
        </w:rPr>
        <w:t>do SWZ</w:t>
      </w:r>
    </w:p>
    <w:p w14:paraId="4EF9EAA4" w14:textId="77777777" w:rsidR="00583FBB" w:rsidRDefault="00583FBB" w:rsidP="002C6536">
      <w:pPr>
        <w:spacing w:after="0"/>
        <w:jc w:val="center"/>
        <w:rPr>
          <w:rFonts w:cs="Arial"/>
          <w:b/>
          <w:sz w:val="24"/>
          <w:szCs w:val="24"/>
        </w:rPr>
      </w:pPr>
    </w:p>
    <w:p w14:paraId="6E172CED" w14:textId="521FBB85" w:rsidR="00334004" w:rsidRPr="00B71620" w:rsidRDefault="00602454" w:rsidP="002C6536">
      <w:pPr>
        <w:spacing w:after="0"/>
        <w:jc w:val="center"/>
        <w:rPr>
          <w:rFonts w:cs="Arial"/>
          <w:b/>
          <w:sz w:val="24"/>
          <w:szCs w:val="24"/>
        </w:rPr>
      </w:pPr>
      <w:r>
        <w:rPr>
          <w:rFonts w:cs="Arial"/>
          <w:b/>
          <w:sz w:val="24"/>
          <w:szCs w:val="24"/>
        </w:rPr>
        <w:t>OPIS PRZEDMIOTU ZAMÓWIENIA</w:t>
      </w:r>
    </w:p>
    <w:p w14:paraId="0A2376B6" w14:textId="77777777" w:rsidR="00CD4CFB" w:rsidRPr="00B71620" w:rsidRDefault="00CD4CFB" w:rsidP="002C6536">
      <w:pPr>
        <w:pStyle w:val="Default"/>
        <w:spacing w:line="276" w:lineRule="auto"/>
        <w:jc w:val="both"/>
        <w:rPr>
          <w:rFonts w:ascii="Calibri" w:hAnsi="Calibri"/>
          <w:color w:val="auto"/>
        </w:rPr>
      </w:pPr>
    </w:p>
    <w:p w14:paraId="521226D0" w14:textId="57856331" w:rsidR="003B7FE8" w:rsidRPr="00B71620" w:rsidRDefault="003B7FE8" w:rsidP="002C6536">
      <w:pPr>
        <w:pStyle w:val="Default"/>
        <w:spacing w:line="276" w:lineRule="auto"/>
        <w:jc w:val="both"/>
        <w:rPr>
          <w:rFonts w:ascii="Calibri" w:hAnsi="Calibri" w:cs="Calibri"/>
          <w:b/>
          <w:color w:val="auto"/>
        </w:rPr>
      </w:pPr>
      <w:r>
        <w:rPr>
          <w:rFonts w:ascii="Calibri" w:hAnsi="Calibri" w:cs="Calibri"/>
          <w:bCs/>
        </w:rPr>
        <w:t>Poniżej zaprezentowane parametry określają minimalne wymagania Zamawiającego odnośnie wykonanyc</w:t>
      </w:r>
      <w:r w:rsidR="00583FBB">
        <w:rPr>
          <w:rFonts w:ascii="Calibri" w:hAnsi="Calibri" w:cs="Calibri"/>
          <w:bCs/>
        </w:rPr>
        <w:t>h przez Wykonawcę dostaw</w:t>
      </w:r>
      <w:r>
        <w:rPr>
          <w:rFonts w:ascii="Calibri" w:hAnsi="Calibri" w:cs="Calibri"/>
          <w:bCs/>
        </w:rPr>
        <w:t>.</w:t>
      </w:r>
    </w:p>
    <w:p w14:paraId="65D1C469" w14:textId="77777777" w:rsidR="00472875" w:rsidRDefault="00472875" w:rsidP="00472875">
      <w:pPr>
        <w:spacing w:after="0" w:line="240" w:lineRule="auto"/>
        <w:jc w:val="both"/>
        <w:rPr>
          <w:rFonts w:cs="Calibri"/>
          <w:sz w:val="20"/>
          <w:szCs w:val="20"/>
        </w:rPr>
      </w:pPr>
    </w:p>
    <w:p w14:paraId="3B68D96B" w14:textId="77777777" w:rsidR="00472875" w:rsidRPr="001B5DA2" w:rsidRDefault="00472875" w:rsidP="00472875">
      <w:pPr>
        <w:pStyle w:val="Akapitzlist"/>
        <w:numPr>
          <w:ilvl w:val="0"/>
          <w:numId w:val="27"/>
        </w:numPr>
        <w:jc w:val="both"/>
        <w:rPr>
          <w:rFonts w:asciiTheme="minorHAnsi" w:hAnsiTheme="minorHAnsi" w:cstheme="minorHAnsi"/>
          <w:b/>
          <w:bCs/>
          <w:szCs w:val="24"/>
        </w:rPr>
      </w:pPr>
      <w:r w:rsidRPr="001B5DA2">
        <w:rPr>
          <w:rFonts w:asciiTheme="minorHAnsi" w:hAnsiTheme="minorHAnsi" w:cstheme="minorHAnsi"/>
          <w:b/>
          <w:bCs/>
          <w:szCs w:val="24"/>
        </w:rPr>
        <w:t>Laptop – 2 sztuki</w:t>
      </w:r>
    </w:p>
    <w:p w14:paraId="4069BF94" w14:textId="59CC48A6" w:rsidR="00472875" w:rsidRDefault="00472875" w:rsidP="00472875">
      <w:pPr>
        <w:spacing w:after="0" w:line="240" w:lineRule="auto"/>
        <w:jc w:val="both"/>
        <w:rPr>
          <w:rFonts w:cs="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371"/>
      </w:tblGrid>
      <w:tr w:rsidR="00472875" w:rsidRPr="00A41005" w14:paraId="7D12E771" w14:textId="77777777" w:rsidTr="00322A6B">
        <w:trPr>
          <w:trHeight w:val="699"/>
        </w:trPr>
        <w:tc>
          <w:tcPr>
            <w:tcW w:w="1843" w:type="dxa"/>
          </w:tcPr>
          <w:p w14:paraId="33E76536"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Zastosowanie</w:t>
            </w:r>
          </w:p>
        </w:tc>
        <w:tc>
          <w:tcPr>
            <w:tcW w:w="7371" w:type="dxa"/>
          </w:tcPr>
          <w:p w14:paraId="4F22974B"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Komputer przenośny, który będzie wykorzystywany dla potrzeb aplikacji biurowych, aplikacji edukacyjnych, aplikacji obliczeniowych, dostępu do Internetu oraz poczty elektronicznej.</w:t>
            </w:r>
          </w:p>
        </w:tc>
      </w:tr>
      <w:tr w:rsidR="00472875" w:rsidRPr="00A41005" w14:paraId="507AA93C" w14:textId="77777777" w:rsidTr="00322A6B">
        <w:tc>
          <w:tcPr>
            <w:tcW w:w="1843" w:type="dxa"/>
          </w:tcPr>
          <w:p w14:paraId="5945DA07"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Przekątna i rozdzielczość ekranu</w:t>
            </w:r>
          </w:p>
        </w:tc>
        <w:tc>
          <w:tcPr>
            <w:tcW w:w="7371" w:type="dxa"/>
            <w:shd w:val="clear" w:color="auto" w:fill="auto"/>
          </w:tcPr>
          <w:p w14:paraId="67CA21AC" w14:textId="1CF9A905"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Ekran o przekątnej 15,6" o rozdzielczości FHD WLED (1920x1080) i jasności co najmniej 250 cd/m2, matryca matowa AG. </w:t>
            </w:r>
          </w:p>
        </w:tc>
      </w:tr>
      <w:tr w:rsidR="00472875" w:rsidRPr="00A41005" w14:paraId="6380E821" w14:textId="77777777" w:rsidTr="00322A6B">
        <w:tc>
          <w:tcPr>
            <w:tcW w:w="1843" w:type="dxa"/>
          </w:tcPr>
          <w:p w14:paraId="0CBB5644"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Wydajność</w:t>
            </w:r>
          </w:p>
        </w:tc>
        <w:tc>
          <w:tcPr>
            <w:tcW w:w="7371" w:type="dxa"/>
          </w:tcPr>
          <w:p w14:paraId="09E91EA9" w14:textId="4954F386"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Procesor klasy x86 ze zintegrowaną grafiką, zapewniający równoważną wydajność całego oferowanego </w:t>
            </w:r>
            <w:r w:rsidR="00E50FB8" w:rsidRPr="00A41005">
              <w:rPr>
                <w:rFonts w:asciiTheme="minorHAnsi" w:hAnsiTheme="minorHAnsi" w:cstheme="minorHAnsi"/>
                <w:sz w:val="20"/>
              </w:rPr>
              <w:t>komputera</w:t>
            </w:r>
            <w:r w:rsidRPr="00A41005">
              <w:rPr>
                <w:rFonts w:asciiTheme="minorHAnsi" w:hAnsiTheme="minorHAnsi" w:cstheme="minorHAnsi"/>
                <w:sz w:val="20"/>
              </w:rPr>
              <w:t xml:space="preserve"> (Rating) min. 13000 pkt. w teście Passmark CPU Mark 10 wg wyników dostępnych na stronie: </w:t>
            </w:r>
            <w:hyperlink r:id="rId9" w:history="1">
              <w:r w:rsidRPr="00A41005">
                <w:rPr>
                  <w:rStyle w:val="Hipercze"/>
                  <w:rFonts w:asciiTheme="minorHAnsi" w:hAnsiTheme="minorHAnsi" w:cstheme="minorHAnsi"/>
                  <w:sz w:val="20"/>
                </w:rPr>
                <w:t>https://www.cpubenchmark.net/high_end_cpus.html</w:t>
              </w:r>
            </w:hyperlink>
          </w:p>
          <w:p w14:paraId="4F49F676"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Wynik aktualny na dzień publikacji postępowania.</w:t>
            </w:r>
          </w:p>
        </w:tc>
      </w:tr>
      <w:tr w:rsidR="00472875" w:rsidRPr="00A41005" w14:paraId="5DC818FD" w14:textId="77777777" w:rsidTr="00322A6B">
        <w:tc>
          <w:tcPr>
            <w:tcW w:w="1843" w:type="dxa"/>
          </w:tcPr>
          <w:p w14:paraId="63561CF7"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Pamięć RAM</w:t>
            </w:r>
          </w:p>
        </w:tc>
        <w:tc>
          <w:tcPr>
            <w:tcW w:w="7371" w:type="dxa"/>
          </w:tcPr>
          <w:p w14:paraId="79A22DE8" w14:textId="13C649CC"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Pamięć operacyjna: 16 GB z możliwością rozbudowy do min </w:t>
            </w:r>
            <w:r w:rsidR="004D3BBF" w:rsidRPr="00A41005">
              <w:rPr>
                <w:rFonts w:asciiTheme="minorHAnsi" w:hAnsiTheme="minorHAnsi" w:cstheme="minorHAnsi"/>
                <w:sz w:val="20"/>
              </w:rPr>
              <w:t>32</w:t>
            </w:r>
            <w:r w:rsidRPr="00A41005">
              <w:rPr>
                <w:rFonts w:asciiTheme="minorHAnsi" w:hAnsiTheme="minorHAnsi" w:cstheme="minorHAnsi"/>
                <w:sz w:val="20"/>
              </w:rPr>
              <w:t xml:space="preserve"> GB.</w:t>
            </w:r>
          </w:p>
        </w:tc>
      </w:tr>
      <w:tr w:rsidR="00472875" w:rsidRPr="00A41005" w14:paraId="47B64CBF" w14:textId="77777777" w:rsidTr="00322A6B">
        <w:tc>
          <w:tcPr>
            <w:tcW w:w="1843" w:type="dxa"/>
          </w:tcPr>
          <w:p w14:paraId="6073778D"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Pamięć masowa</w:t>
            </w:r>
          </w:p>
        </w:tc>
        <w:tc>
          <w:tcPr>
            <w:tcW w:w="7371" w:type="dxa"/>
          </w:tcPr>
          <w:p w14:paraId="48BE4DAA"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Parametry pamięci masowej: dysk SSD M.2 NVMe o pojemności min. 512GB, </w:t>
            </w:r>
            <w:r w:rsidRPr="00A41005">
              <w:rPr>
                <w:rFonts w:asciiTheme="minorHAnsi" w:hAnsiTheme="minorHAnsi" w:cstheme="minorHAnsi"/>
                <w:bCs/>
                <w:sz w:val="20"/>
                <w:lang w:eastAsia="en-US"/>
              </w:rPr>
              <w:t>zawierający partycję RECOVERY umożliwiającą odtworzenie systemu operacyjnego fabrycznie zainstalowanego na komputerze po awarii bez dodatkowych nośników.</w:t>
            </w:r>
          </w:p>
        </w:tc>
      </w:tr>
      <w:tr w:rsidR="00472875" w:rsidRPr="00A41005" w14:paraId="7D47E2FE" w14:textId="77777777" w:rsidTr="00322A6B">
        <w:tc>
          <w:tcPr>
            <w:tcW w:w="1843" w:type="dxa"/>
          </w:tcPr>
          <w:p w14:paraId="37AB1AFF"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Wirtualizacja</w:t>
            </w:r>
          </w:p>
        </w:tc>
        <w:tc>
          <w:tcPr>
            <w:tcW w:w="7371" w:type="dxa"/>
          </w:tcPr>
          <w:p w14:paraId="3A3779C9"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Sprzętowe wsparcie technologii wirtualizacji procesorów, pamięci i urządzeń I/O realizowane łącznie w procesorze, chipsecie płyty głównej oraz w BIOS systemu (możliwość włączenia/wyłączenia sprzętowego wsparcia wirtualizacji)</w:t>
            </w:r>
          </w:p>
        </w:tc>
      </w:tr>
      <w:tr w:rsidR="00472875" w:rsidRPr="00A41005" w14:paraId="34892485" w14:textId="77777777" w:rsidTr="00322A6B">
        <w:tc>
          <w:tcPr>
            <w:tcW w:w="1843" w:type="dxa"/>
          </w:tcPr>
          <w:p w14:paraId="49DC1558"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Bezpieczeństwo</w:t>
            </w:r>
          </w:p>
        </w:tc>
        <w:tc>
          <w:tcPr>
            <w:tcW w:w="7371" w:type="dxa"/>
          </w:tcPr>
          <w:p w14:paraId="4F6D70B1"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bCs/>
                <w:sz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Co najmniej zgodne z TPM 2.0.</w:t>
            </w:r>
          </w:p>
        </w:tc>
      </w:tr>
      <w:tr w:rsidR="00472875" w:rsidRPr="00A41005" w14:paraId="539A38EF" w14:textId="77777777" w:rsidTr="00322A6B">
        <w:tc>
          <w:tcPr>
            <w:tcW w:w="1843" w:type="dxa"/>
          </w:tcPr>
          <w:p w14:paraId="0C4AE394"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Porty i złącza</w:t>
            </w:r>
          </w:p>
        </w:tc>
        <w:tc>
          <w:tcPr>
            <w:tcW w:w="7371" w:type="dxa"/>
          </w:tcPr>
          <w:p w14:paraId="2B1DCC75" w14:textId="110060F6" w:rsidR="00472875" w:rsidRPr="00A41005" w:rsidRDefault="00472875" w:rsidP="00322A6B">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 xml:space="preserve">Min. </w:t>
            </w:r>
            <w:r w:rsidR="004D3BBF" w:rsidRPr="00A41005">
              <w:rPr>
                <w:rFonts w:asciiTheme="minorHAnsi" w:hAnsiTheme="minorHAnsi" w:cstheme="minorHAnsi"/>
                <w:sz w:val="20"/>
              </w:rPr>
              <w:t>2</w:t>
            </w:r>
            <w:r w:rsidRPr="00A41005">
              <w:rPr>
                <w:rFonts w:asciiTheme="minorHAnsi" w:hAnsiTheme="minorHAnsi" w:cstheme="minorHAnsi"/>
                <w:sz w:val="20"/>
              </w:rPr>
              <w:t>x USB 3.2.</w:t>
            </w:r>
          </w:p>
          <w:p w14:paraId="31396CF6" w14:textId="77777777" w:rsidR="00472875" w:rsidRPr="00A41005" w:rsidRDefault="00472875" w:rsidP="00322A6B">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HDMI w wersji co najmniej 1.4</w:t>
            </w:r>
          </w:p>
          <w:p w14:paraId="7A17C155" w14:textId="77777777" w:rsidR="00472875" w:rsidRPr="00A41005" w:rsidRDefault="00472875" w:rsidP="00322A6B">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Audio: port combo mikrofon/słuchawki</w:t>
            </w:r>
          </w:p>
          <w:p w14:paraId="7C60C447" w14:textId="77777777" w:rsidR="00472875" w:rsidRPr="00A41005" w:rsidRDefault="00472875" w:rsidP="00322A6B">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 xml:space="preserve">Karta sieciowa LAN 10/100/1000 Ethernet RJ 45 zintegrowana z płytą główną. </w:t>
            </w:r>
          </w:p>
          <w:p w14:paraId="44754DE7" w14:textId="7107B492" w:rsidR="00472875" w:rsidRPr="00A41005" w:rsidRDefault="00472875" w:rsidP="004D3BBF">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Zintegrowana w postaci wewnętrznego modułu mini-PCI Express karta sieci WLAN obsługująca łącznie standardy IEEE 802.11ac</w:t>
            </w:r>
            <w:r w:rsidR="004D3BBF" w:rsidRPr="00A41005">
              <w:rPr>
                <w:rFonts w:asciiTheme="minorHAnsi" w:hAnsiTheme="minorHAnsi" w:cstheme="minorHAnsi"/>
                <w:sz w:val="20"/>
              </w:rPr>
              <w:t>, o</w:t>
            </w:r>
            <w:r w:rsidRPr="00A41005">
              <w:rPr>
                <w:rFonts w:asciiTheme="minorHAnsi" w:hAnsiTheme="minorHAnsi" w:cstheme="minorHAnsi"/>
                <w:sz w:val="20"/>
              </w:rPr>
              <w:t>bsługa szyfrowania WPS/WPA2/WEP</w:t>
            </w:r>
          </w:p>
          <w:p w14:paraId="633A6DFC" w14:textId="77777777" w:rsidR="00472875" w:rsidRPr="00A41005" w:rsidRDefault="00472875" w:rsidP="00322A6B">
            <w:pPr>
              <w:pStyle w:val="Akapitzlist"/>
              <w:widowControl/>
              <w:numPr>
                <w:ilvl w:val="2"/>
                <w:numId w:val="9"/>
              </w:numPr>
              <w:suppressAutoHyphens w:val="0"/>
              <w:rPr>
                <w:rFonts w:asciiTheme="minorHAnsi" w:hAnsiTheme="minorHAnsi" w:cstheme="minorHAnsi"/>
                <w:sz w:val="20"/>
              </w:rPr>
            </w:pPr>
            <w:r w:rsidRPr="00A41005">
              <w:rPr>
                <w:rFonts w:asciiTheme="minorHAnsi" w:hAnsiTheme="minorHAnsi" w:cstheme="minorHAnsi"/>
                <w:sz w:val="20"/>
              </w:rPr>
              <w:t>Bluetooth co najmniej w standardzie v5.0,</w:t>
            </w:r>
          </w:p>
        </w:tc>
      </w:tr>
      <w:tr w:rsidR="00472875" w:rsidRPr="00A41005" w14:paraId="7CD020F1" w14:textId="77777777" w:rsidTr="00322A6B">
        <w:tc>
          <w:tcPr>
            <w:tcW w:w="1843" w:type="dxa"/>
          </w:tcPr>
          <w:p w14:paraId="5E87013D"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Multimedia</w:t>
            </w:r>
          </w:p>
        </w:tc>
        <w:tc>
          <w:tcPr>
            <w:tcW w:w="7371" w:type="dxa"/>
          </w:tcPr>
          <w:p w14:paraId="7C4767E2"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Wyposażenie multimedialne: Karta dźwiękowa zintegrowana z płytą główną, zgodna z High Definition, wbudowane dwa głośniki;</w:t>
            </w:r>
          </w:p>
          <w:p w14:paraId="5A694A6D"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Min. 1 cyfrowy mikrofon wbudowany w obudowie matrycy.</w:t>
            </w:r>
          </w:p>
          <w:p w14:paraId="3AF5A538" w14:textId="57C421C9"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Kamera internetowa co najmniej HD (co najmniej 720p, 30 klatek na sekundę) trwale zainstalowana w obudowie matrycy, wyposażona w </w:t>
            </w:r>
            <w:r w:rsidR="004D3BBF" w:rsidRPr="00A41005">
              <w:rPr>
                <w:rFonts w:asciiTheme="minorHAnsi" w:hAnsiTheme="minorHAnsi" w:cstheme="minorHAnsi"/>
                <w:sz w:val="20"/>
              </w:rPr>
              <w:t>zaślepkę</w:t>
            </w:r>
            <w:r w:rsidRPr="00A41005">
              <w:rPr>
                <w:rFonts w:asciiTheme="minorHAnsi" w:hAnsiTheme="minorHAnsi" w:cstheme="minorHAnsi"/>
                <w:sz w:val="20"/>
              </w:rPr>
              <w:t>.</w:t>
            </w:r>
          </w:p>
        </w:tc>
      </w:tr>
      <w:tr w:rsidR="00472875" w:rsidRPr="00A41005" w14:paraId="4346E4F6" w14:textId="77777777" w:rsidTr="00322A6B">
        <w:tc>
          <w:tcPr>
            <w:tcW w:w="1843" w:type="dxa"/>
          </w:tcPr>
          <w:p w14:paraId="578CC851"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Klawiatura</w:t>
            </w:r>
          </w:p>
        </w:tc>
        <w:tc>
          <w:tcPr>
            <w:tcW w:w="7371" w:type="dxa"/>
          </w:tcPr>
          <w:p w14:paraId="103458FF" w14:textId="404E9A11"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Klawiatura </w:t>
            </w:r>
            <w:r w:rsidR="004619E4" w:rsidRPr="00A41005">
              <w:rPr>
                <w:rFonts w:asciiTheme="minorHAnsi" w:hAnsiTheme="minorHAnsi" w:cstheme="minorHAnsi"/>
                <w:sz w:val="20"/>
              </w:rPr>
              <w:t>podświetlana w</w:t>
            </w:r>
            <w:r w:rsidRPr="00A41005">
              <w:rPr>
                <w:rFonts w:asciiTheme="minorHAnsi" w:hAnsiTheme="minorHAnsi" w:cstheme="minorHAnsi"/>
                <w:sz w:val="20"/>
              </w:rPr>
              <w:t xml:space="preserve"> układ</w:t>
            </w:r>
            <w:r w:rsidR="004619E4" w:rsidRPr="00A41005">
              <w:rPr>
                <w:rFonts w:asciiTheme="minorHAnsi" w:hAnsiTheme="minorHAnsi" w:cstheme="minorHAnsi"/>
                <w:sz w:val="20"/>
              </w:rPr>
              <w:t>zie</w:t>
            </w:r>
            <w:r w:rsidRPr="00A41005">
              <w:rPr>
                <w:rFonts w:asciiTheme="minorHAnsi" w:hAnsiTheme="minorHAnsi" w:cstheme="minorHAnsi"/>
                <w:sz w:val="20"/>
              </w:rPr>
              <w:t xml:space="preserve"> US –QWERTY</w:t>
            </w:r>
            <w:r w:rsidR="004619E4" w:rsidRPr="00A41005">
              <w:rPr>
                <w:rFonts w:asciiTheme="minorHAnsi" w:hAnsiTheme="minorHAnsi" w:cstheme="minorHAnsi"/>
                <w:sz w:val="20"/>
              </w:rPr>
              <w:t>,</w:t>
            </w:r>
            <w:r w:rsidRPr="00A41005">
              <w:rPr>
                <w:rFonts w:asciiTheme="minorHAnsi" w:hAnsiTheme="minorHAnsi" w:cstheme="minorHAnsi"/>
                <w:sz w:val="20"/>
              </w:rPr>
              <w:t xml:space="preserve"> odporna na zachlapanie, minimum 104 klawisze z wydzielonym blokiem klawiatury numerycznej.</w:t>
            </w:r>
          </w:p>
        </w:tc>
      </w:tr>
      <w:tr w:rsidR="00472875" w:rsidRPr="00A41005" w14:paraId="3E7135DF" w14:textId="77777777" w:rsidTr="00322A6B">
        <w:tc>
          <w:tcPr>
            <w:tcW w:w="1843" w:type="dxa"/>
          </w:tcPr>
          <w:p w14:paraId="11CA7F4C"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Bateria i zasilanie</w:t>
            </w:r>
          </w:p>
        </w:tc>
        <w:tc>
          <w:tcPr>
            <w:tcW w:w="7371" w:type="dxa"/>
          </w:tcPr>
          <w:p w14:paraId="2082367E" w14:textId="54A78042"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Min. 3-cell, Li-Ion. Zasilacz </w:t>
            </w:r>
            <w:r w:rsidR="004619E4" w:rsidRPr="00A41005">
              <w:rPr>
                <w:rFonts w:asciiTheme="minorHAnsi" w:hAnsiTheme="minorHAnsi" w:cstheme="minorHAnsi"/>
                <w:sz w:val="20"/>
              </w:rPr>
              <w:t>w zestawie.</w:t>
            </w:r>
          </w:p>
        </w:tc>
      </w:tr>
      <w:tr w:rsidR="00472875" w:rsidRPr="00A41005" w14:paraId="165B57F1" w14:textId="77777777" w:rsidTr="00322A6B">
        <w:tc>
          <w:tcPr>
            <w:tcW w:w="1843" w:type="dxa"/>
          </w:tcPr>
          <w:p w14:paraId="182C8B66"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Waga i wymiary</w:t>
            </w:r>
          </w:p>
        </w:tc>
        <w:tc>
          <w:tcPr>
            <w:tcW w:w="7371" w:type="dxa"/>
          </w:tcPr>
          <w:p w14:paraId="7FEC844B" w14:textId="77777777" w:rsidR="00472875" w:rsidRPr="00A41005" w:rsidRDefault="00472875" w:rsidP="00322A6B">
            <w:pPr>
              <w:pStyle w:val="Akapitzlist"/>
              <w:ind w:left="0"/>
              <w:rPr>
                <w:rFonts w:asciiTheme="minorHAnsi" w:hAnsiTheme="minorHAnsi" w:cstheme="minorHAnsi"/>
                <w:sz w:val="20"/>
                <w:highlight w:val="yellow"/>
              </w:rPr>
            </w:pPr>
            <w:r w:rsidRPr="00A41005">
              <w:rPr>
                <w:rFonts w:asciiTheme="minorHAnsi" w:hAnsiTheme="minorHAnsi" w:cstheme="minorHAnsi"/>
                <w:sz w:val="20"/>
              </w:rPr>
              <w:t xml:space="preserve">Waga nie więcej niż: 2 kg </w:t>
            </w:r>
          </w:p>
          <w:p w14:paraId="2F9C32F3"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lastRenderedPageBreak/>
              <w:t xml:space="preserve">Grubość laptopa po złożeniu powinna być mniejsza niż 24 mm. </w:t>
            </w:r>
          </w:p>
        </w:tc>
      </w:tr>
      <w:tr w:rsidR="00472875" w:rsidRPr="00A41005" w14:paraId="71D0FB74" w14:textId="77777777" w:rsidTr="00322A6B">
        <w:tc>
          <w:tcPr>
            <w:tcW w:w="1843" w:type="dxa"/>
          </w:tcPr>
          <w:p w14:paraId="230E41F8" w14:textId="77777777" w:rsidR="00472875" w:rsidRPr="00A41005" w:rsidRDefault="00472875" w:rsidP="008D5B90">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lastRenderedPageBreak/>
              <w:t>System operacyjny</w:t>
            </w:r>
          </w:p>
        </w:tc>
        <w:tc>
          <w:tcPr>
            <w:tcW w:w="7371" w:type="dxa"/>
          </w:tcPr>
          <w:p w14:paraId="5BBD6324" w14:textId="77777777" w:rsidR="008D5B90" w:rsidRPr="00A41005" w:rsidRDefault="008D5B90" w:rsidP="008D5B90">
            <w:pPr>
              <w:pStyle w:val="Akapitzlist"/>
              <w:ind w:left="0"/>
              <w:contextualSpacing w:val="0"/>
              <w:jc w:val="both"/>
              <w:rPr>
                <w:rFonts w:asciiTheme="minorHAnsi" w:hAnsiTheme="minorHAnsi" w:cstheme="minorHAnsi"/>
                <w:sz w:val="20"/>
              </w:rPr>
            </w:pPr>
            <w:r w:rsidRPr="00A41005">
              <w:rPr>
                <w:rFonts w:asciiTheme="minorHAnsi" w:hAnsiTheme="minorHAnsi" w:cstheme="minorHAnsi"/>
                <w:bCs/>
                <w:sz w:val="20"/>
              </w:rPr>
              <w:t xml:space="preserve">Licencja na system operacyjny Microsoft </w:t>
            </w:r>
            <w:r w:rsidRPr="00A41005">
              <w:rPr>
                <w:rFonts w:asciiTheme="minorHAnsi" w:hAnsiTheme="minorHAnsi" w:cstheme="minorHAnsi"/>
                <w:sz w:val="20"/>
              </w:rPr>
              <w:t>Windows 10 Professional. lub Microsoft Windows 11 Professional</w:t>
            </w:r>
            <w:r w:rsidRPr="00A41005">
              <w:rPr>
                <w:rFonts w:asciiTheme="minorHAnsi" w:hAnsiTheme="minorHAnsi" w:cstheme="minorHAnsi"/>
                <w:bCs/>
                <w:sz w:val="20"/>
              </w:rPr>
              <w:t xml:space="preserve">, zainstalowany system operacyjny </w:t>
            </w:r>
            <w:r w:rsidRPr="00A41005">
              <w:rPr>
                <w:rFonts w:asciiTheme="minorHAnsi" w:hAnsiTheme="minorHAnsi" w:cstheme="minorHAnsi"/>
                <w:sz w:val="20"/>
              </w:rPr>
              <w:t xml:space="preserve">Windows </w:t>
            </w:r>
            <w:r w:rsidRPr="00A41005">
              <w:rPr>
                <w:rFonts w:asciiTheme="minorHAnsi" w:hAnsiTheme="minorHAnsi" w:cstheme="minorHAnsi"/>
                <w:bCs/>
                <w:sz w:val="20"/>
              </w:rPr>
              <w:t>niewymagający ręcznej aktywacji za pomocą telefonu lub Internetu w firmie Microsoft</w:t>
            </w:r>
            <w:r w:rsidRPr="00A41005">
              <w:rPr>
                <w:rFonts w:asciiTheme="minorHAnsi" w:hAnsiTheme="minorHAnsi" w:cstheme="minorHAnsi"/>
                <w:sz w:val="20"/>
              </w:rPr>
              <w:t xml:space="preserve"> w celu zapewnienia współpracy ze środowiskiem sieciowym oraz aplikacjami funkcjonującymi w administracji państwowej lub równoważny. Za rozwiązanie równoważne uznaje się takie, które posiada wbudowane mechanizmy, bez użycia dodatkowych aplikacji (bez jakichkolwiek emulatorów, implementacji lub programów towarzyszących), zapewniające: </w:t>
            </w:r>
          </w:p>
          <w:p w14:paraId="0B913E03"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Polską wersję językową, Możliwość instalacji i poprawnego działania oprogramowania dostępnego w ramach posiadanych przez Zamawiającego licencji Microsoft Office 2016, możliwość pełnej integracji z systemem domenowym MS Windows Server, </w:t>
            </w:r>
          </w:p>
          <w:p w14:paraId="5E04BC13"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Możliwość instalacji i poprawnego działania oprogramowania Visio, Project, ESET, QNT, Płatnik, Symfonia, eDOK aktualnie użytkowanych przez Zamawiającego .</w:t>
            </w:r>
          </w:p>
          <w:p w14:paraId="76B00D93"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Poprawną obsługę drukarek, skanerów (Xerox, Minolta, Fujitsu, Avision), </w:t>
            </w:r>
          </w:p>
          <w:p w14:paraId="5B05B716"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Dostępność aktualizacji i poprawek do systemu u producenta systemu bezpłatnie i bez dodatkowych opłat licencyjnych z możliwością wyboru instalowanych poprawek, </w:t>
            </w:r>
          </w:p>
          <w:p w14:paraId="054DBC69"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zdalnej, automatycznej instalacji, konfiguracji, administrowania oraz aktualizowania systemu, </w:t>
            </w:r>
          </w:p>
          <w:p w14:paraId="1241AD76"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automatycznego zbudowania obrazu systemu wraz z aplikacjami. Obraz systemu służyć ma do automatycznego upowszechniania systemu operacyjnego inicjowanego i wykonywanego w całości przez sieć komputerową, </w:t>
            </w:r>
          </w:p>
          <w:p w14:paraId="7CA84CDF"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wdrożenia nowego obrazu przez zdalną instalację, </w:t>
            </w:r>
          </w:p>
          <w:p w14:paraId="5F9A1260"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Graficzne środowisko instalacji i konfiguracji, </w:t>
            </w:r>
          </w:p>
          <w:p w14:paraId="34BFE762"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i przejmowania pulpitu zdalnego, </w:t>
            </w:r>
          </w:p>
          <w:p w14:paraId="411C73C4"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plików i drukarek, </w:t>
            </w:r>
          </w:p>
          <w:p w14:paraId="7B9205E2"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wsparcia dla urządzeń (urządzeń sieciowych Cisco, Netgear, Edimax, standardów USB, urządzeń Plug &amp; Play), </w:t>
            </w:r>
          </w:p>
          <w:p w14:paraId="2BF8AD95"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Wyposażenie systemu w graficzny interfejs użytkownika w języku polskim,</w:t>
            </w:r>
          </w:p>
          <w:p w14:paraId="7E27F7FB" w14:textId="77777777" w:rsidR="008D5B90" w:rsidRPr="00A41005" w:rsidRDefault="008D5B90" w:rsidP="008D5B9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pełnej kompatybilności z oferowanym sprzętem.  </w:t>
            </w:r>
          </w:p>
          <w:p w14:paraId="5E6143A1" w14:textId="77777777" w:rsidR="008D5B90" w:rsidRPr="00A41005" w:rsidRDefault="008D5B90" w:rsidP="008D5B90">
            <w:pPr>
              <w:pStyle w:val="Akapitzlist"/>
              <w:contextualSpacing w:val="0"/>
              <w:rPr>
                <w:rFonts w:asciiTheme="minorHAnsi" w:hAnsiTheme="minorHAnsi" w:cstheme="minorHAnsi"/>
                <w:sz w:val="20"/>
              </w:rPr>
            </w:pPr>
          </w:p>
          <w:p w14:paraId="546C639C" w14:textId="77777777" w:rsidR="008D5B90" w:rsidRPr="00A41005" w:rsidRDefault="008D5B90" w:rsidP="008D5B90">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Umieszczony na obudowie Certyfikat Autentyczności w postaci specjalnej naklejki zabezpieczającej lub załączone potwierdzenie producenta komputera o legalności dostarczonego oprogramowania systemowego.</w:t>
            </w:r>
          </w:p>
          <w:p w14:paraId="75059278" w14:textId="5D3635A1" w:rsidR="00472875" w:rsidRPr="00A41005" w:rsidRDefault="008D5B90" w:rsidP="008D5B90">
            <w:pPr>
              <w:pStyle w:val="Akapitzlist"/>
              <w:ind w:left="0"/>
              <w:contextualSpacing w:val="0"/>
              <w:rPr>
                <w:rFonts w:asciiTheme="minorHAnsi" w:hAnsiTheme="minorHAnsi" w:cstheme="minorHAnsi"/>
                <w:sz w:val="20"/>
              </w:rPr>
            </w:pPr>
            <w:r w:rsidRPr="00A41005">
              <w:rPr>
                <w:rFonts w:asciiTheme="minorHAnsi" w:hAnsiTheme="minorHAnsi" w:cstheme="minorHAnsi"/>
                <w:sz w:val="20"/>
              </w:rPr>
              <w:t>Nie dopuszcza się w tym zakresie licencji pochodzących z rynku wtórnego.</w:t>
            </w:r>
          </w:p>
        </w:tc>
      </w:tr>
      <w:tr w:rsidR="008D5B90" w:rsidRPr="00A41005" w14:paraId="081BAB54" w14:textId="77777777" w:rsidTr="00322A6B">
        <w:trPr>
          <w:trHeight w:val="1305"/>
        </w:trPr>
        <w:tc>
          <w:tcPr>
            <w:tcW w:w="1843" w:type="dxa"/>
          </w:tcPr>
          <w:p w14:paraId="6307EE86" w14:textId="241380F8" w:rsidR="008D5B90" w:rsidRPr="00A41005" w:rsidRDefault="008D5B90" w:rsidP="008D5B90">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Oprogramowanie biurowe</w:t>
            </w:r>
          </w:p>
        </w:tc>
        <w:tc>
          <w:tcPr>
            <w:tcW w:w="7371" w:type="dxa"/>
          </w:tcPr>
          <w:p w14:paraId="64ACA3B7" w14:textId="77777777" w:rsidR="008D5B90" w:rsidRPr="00A41005" w:rsidRDefault="008D5B90" w:rsidP="008D5B9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Zainstalowane oprogramowanie Microsoft Office 2021 Home &amp; Business o architekturze 64bit w polskiej wersji językowej umożliwiającej pracę w domenie. Licencja i oprogramowanie musi być nowe, nieużywane, nigdy wcześniej nieaktywowane.</w:t>
            </w:r>
          </w:p>
          <w:p w14:paraId="4E119AEA" w14:textId="77777777" w:rsidR="008D5B90" w:rsidRPr="00A41005" w:rsidRDefault="008D5B90" w:rsidP="008D5B90">
            <w:pPr>
              <w:pStyle w:val="Akapitzlist"/>
              <w:ind w:left="0"/>
              <w:contextualSpacing w:val="0"/>
              <w:jc w:val="both"/>
              <w:rPr>
                <w:rFonts w:asciiTheme="minorHAnsi" w:hAnsiTheme="minorHAnsi" w:cstheme="minorHAnsi"/>
                <w:bCs/>
                <w:sz w:val="20"/>
              </w:rPr>
            </w:pPr>
          </w:p>
          <w:p w14:paraId="1470F161" w14:textId="77777777" w:rsidR="008D5B90" w:rsidRPr="00A41005" w:rsidRDefault="008D5B90" w:rsidP="008D5B9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Zamawiający dopuszcza dostarczenie produktu równoważnego. Za produkt równoważny Zamawiający uzna produkt o cechach (parametrach) nie gorszych niż produkt Microsoft lub lepszych niż produkt określony w OPZ, przy czym:</w:t>
            </w:r>
          </w:p>
          <w:p w14:paraId="4BE8DF11" w14:textId="77777777" w:rsidR="008D5B90" w:rsidRPr="00A41005" w:rsidRDefault="008D5B90" w:rsidP="008D5B9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Wykonawca w formularzu ofertowym winien wskazać jaki rodzaj produktów oferuje, tj. produkty Microsoft bądź produkty równoważne. W przypadku, gdy wykonawca oferuje produkty równoważne Zamawiający wymaga, aby wraz z ofertą wykonawca dołączył dokumenty potwierdzające, że oferowane przez niego produkty spełniają wymagania w zakresie równoważności, zgodnie z </w:t>
            </w:r>
            <w:r w:rsidRPr="00A41005">
              <w:rPr>
                <w:rFonts w:asciiTheme="minorHAnsi" w:hAnsiTheme="minorHAnsi" w:cstheme="minorHAnsi"/>
                <w:bCs/>
                <w:sz w:val="20"/>
              </w:rPr>
              <w:lastRenderedPageBreak/>
              <w:t>OPZ,</w:t>
            </w:r>
          </w:p>
          <w:p w14:paraId="3FC27E4B" w14:textId="77777777" w:rsidR="008D5B90" w:rsidRPr="00A41005" w:rsidRDefault="008D5B90" w:rsidP="008D5B9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Zamawiający zastrzega sobie w przypadku jakichkolwiek wątpliwości, prawo sprawdzenia pełnej zgodności warunków i zakresu równoważności oferowanych produktów równoważnych. W takim wypadku Zamawiający wezwie wykonawców do przedstawienia dodatkowych dokumentów dotyczących danego produktu w celu potwierdzenia spełnienia wymagań w zakresie równoważności oraz próbek oferowanych produktów, dla celów wykonania testów w środowiskach Zamawiającego. Sprawdzenie to będzie polegać na przeprowadzeniu testów w warunkach odzwierciedlających środowiska produkcyjne na sprzęcie Zamawiającego, z użyciem urządzeń peryferyjnych Zamawiającego, na plikach, arkuszach, bazach danych i dokumentach Zamawiającego. Testowane będą opisane w wymaganiach OPZ funkcje produktów, wobec których to funkcji Zamawiający powziął wątpliwość co do ich zgodności z wymaganiami OPZ. W tym celu wykonawca na każde wezwanie Zamawiającego, dostarczy do siedziby Zamawiającego w terminie 3 dni roboczych od daty otrzymania wezwania, po jednym egzemplarzu wskazanego produktu, wobec którego Zamawiający powziął wątpliwość co do jego zgodności z wymaganiami OPZ. W odniesieniu do tych produktów mogą zostać dostarczone licencje tymczasowe, w pełni zgodne z oferowanymi. Jednocześnie Zamawiający zastrzega sobie możliwość odwołania się do oficjalnych, publicznie dostępnych stron internetowych producenta weryfikowanego przedmiotu oferty. Nieprzedłożenie oferowanych produktów równoważnych do przetestowania w ww. terminie, zostanie potraktowane jako negatywny wynik sprawdzenia. Po wykonaniu testów, dostarczone do testów egzemplarze produktów będą zwrócone wykonawcy na jego pisemny wniosek,</w:t>
            </w:r>
          </w:p>
          <w:p w14:paraId="2373EB66" w14:textId="77777777" w:rsidR="008D5B90" w:rsidRPr="00A41005" w:rsidRDefault="008D5B90" w:rsidP="008D5B9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Negatywny wynik sprawdzenia oferty w zakresie równoważności oferowanych produktów, skutkować będzie odrzuceniem tej oferty;</w:t>
            </w:r>
          </w:p>
          <w:p w14:paraId="311A6DF7" w14:textId="77777777" w:rsidR="008D5B90" w:rsidRPr="00A41005" w:rsidRDefault="008D5B90" w:rsidP="008D5B9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W przypadku zaoferowania przez wykonawcę produktów równoważnych, Zamawiający wymaga, aby oferowane produkty spełniały dodatkowo niżej wymienione wymagania:</w:t>
            </w:r>
          </w:p>
          <w:p w14:paraId="5DF96243"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równoważny produkt musi bez zakłóceń współpracować z posiadaną przez Zamawiającego infrastrukturą sprzętową oraz wykorzystywanym oprogramowaniem i systemami, do których należą: serwery, laptopy, komputery stacjonarne, urządzenia drukujące, urządzenia sieciowe, systemy Windows, oprogramowanie Microsoft (Viso, Project, Exchange 2016), środowisko wirtualizacyjne VmWare w wersji 6.x. Na wykonawcy oferującym produkty równoważne spoczywa odpowiedzialność w zakresie prawidłowego działania zaoferowanych produktów w środowisku pracy użytkowników produktów po stronie Zamawiającego,</w:t>
            </w:r>
          </w:p>
          <w:p w14:paraId="433B93C2"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warunki i zakres usługi wsparcia producenta dla produktów równoważnych nie gorsze, niż usługa określona dla odpowiedniego produktu producenta Microsoft,</w:t>
            </w:r>
          </w:p>
          <w:p w14:paraId="5FA05723"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warunki licencji w każdym aspekcie licencjonowania nie mogą być gorsze, niż dla licencji producenta Microsoft,</w:t>
            </w:r>
          </w:p>
          <w:p w14:paraId="253BB581"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wykazać, że funkcjonalność każdego produktu równoważnego nie jest gorsza od funkcjonalności odpowiedniego produktu producenta Microsoft,</w:t>
            </w:r>
          </w:p>
          <w:p w14:paraId="7EAEDCE4"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że produkty równoważne są kompatybilne i będą w sposób niezakłócony współdziałać ze sprzętem i oprogramowaniem systemowym Zamawiającego (komputery i laptopy pracujące na systemie Windows 10 Professional, urządzenia mobilne pracujące na Android 10 oraz iOS 14), oraz aplikacyjnym (Microsoft Exchange 2016, Microsoft Office 2016) i użytkowym, eksploatowanym i obsługiwanym przez Zamawiającego,</w:t>
            </w:r>
          </w:p>
          <w:p w14:paraId="155D1E87"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Wykonawca musi zapewnić, że warunki i zakres usługi asysty wsparcia </w:t>
            </w:r>
            <w:r w:rsidRPr="00A41005">
              <w:rPr>
                <w:rFonts w:asciiTheme="minorHAnsi" w:hAnsiTheme="minorHAnsi" w:cstheme="minorHAnsi"/>
                <w:bCs/>
                <w:sz w:val="20"/>
              </w:rPr>
              <w:lastRenderedPageBreak/>
              <w:t>technicznego dla produktów równoważnych nie są gorsze, niż usługi oferowane przez producenta Microsoft,</w:t>
            </w:r>
          </w:p>
          <w:p w14:paraId="3068D2B9"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pokryć koszty zmiany w zakresie produktów i rozwiązań Microsoft na produkty i rozwiązania równoważne, konieczne do właściwego działania środowiska sprzętowo-programowego Zamawiającego, o ile wystąpi taka konieczność,</w:t>
            </w:r>
          </w:p>
          <w:p w14:paraId="4068C718"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przywrócić sprawne działanie infrastruktury sprzętowo-programowej Zamawiającego oraz na własny koszt dokonać niezbędnych modyfikacji przywracających właściwe działanie tego środowiska sprzętowo-programowego, również po odinstalowaniu produktu równoważnego w przypadku, gdy zaoferowane produkty równoważne nie będą właściwie współdziałać ze sprzętem i oprogramowaniem funkcjonującym u Zamawiającego,</w:t>
            </w:r>
          </w:p>
          <w:p w14:paraId="0EAAACED" w14:textId="77777777" w:rsidR="008D5B90" w:rsidRPr="00A41005" w:rsidRDefault="008D5B90" w:rsidP="008D5B9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Zamawiający ze względu na koszty ewentualnej zmiany w zakresie rozwiązań producenta Microsoft na produkty równoważne, wymaga, aby produkty równoważne pochodziły od jednego producenta i umożliwiały wykorzystanie wspólnych i jednolitych procedur masowej instalacji, uaktualniania, zarządzania i monitorowania;</w:t>
            </w:r>
          </w:p>
          <w:p w14:paraId="44B8C555" w14:textId="77777777" w:rsidR="008D5B90" w:rsidRPr="00A41005" w:rsidRDefault="008D5B90" w:rsidP="008D5B9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Zarządzanie produktami musi odbywać się za pośrednictwem platformy dostępnej z przeglądarki internetowej pozwalającej na:</w:t>
            </w:r>
          </w:p>
          <w:p w14:paraId="7F77216C"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184A1A62"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na żądanie wyników aktualnych audytów, w tym audytów bezpieczeństwa,</w:t>
            </w:r>
          </w:p>
          <w:p w14:paraId="6DE2D5AD"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automatycznej, niewpływającej na ciągłość pracy systemu instalacji poprawek dla licencji subskrypcyjnych,</w:t>
            </w:r>
          </w:p>
          <w:p w14:paraId="322C30E7"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645CECDA"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niezaprzeczalnego uwierzytelnienia na bazie usługi katalogowej będącej składową hostowanej usługi platformowej,</w:t>
            </w:r>
          </w:p>
          <w:p w14:paraId="5BF7465A"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3852DEC3"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5E38A02D"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3D65C72C"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0496C140"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zastrzeżenia miejsca przetwarzania/składowania danych w usłudze do terytorium krajów Europejskiego Obszaru Gospodarczego,</w:t>
            </w:r>
          </w:p>
          <w:p w14:paraId="268054B2"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Zobowiązanie umowne o pozostawieniu całkowitej własności przetwarzanych/składowanych w usłudze danych po stronie Zamawiającego,</w:t>
            </w:r>
          </w:p>
          <w:p w14:paraId="243DFD18"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usunięcia danych Zamawiającego z platformy po zakończeniu umowy,</w:t>
            </w:r>
          </w:p>
          <w:p w14:paraId="79233FAE" w14:textId="77777777" w:rsidR="008D5B90" w:rsidRPr="00A41005" w:rsidRDefault="008D5B90" w:rsidP="008D5B9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braku dostępu do danych Zamawiającego na platformie, z wyłączeniem działań serwisowych wymagających każdorazowo zgody Zamawiającego i wykonywanych wyłącznie przez uprawnione osoby z organizacji wykonawcy platformy;</w:t>
            </w:r>
          </w:p>
          <w:p w14:paraId="584EFEBB" w14:textId="77777777" w:rsidR="008D5B90" w:rsidRPr="00A41005" w:rsidRDefault="008D5B90" w:rsidP="008D5B90">
            <w:pPr>
              <w:pStyle w:val="Akapitzlist"/>
              <w:numPr>
                <w:ilvl w:val="0"/>
                <w:numId w:val="33"/>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Subskrypcja pakietu standardowych usług hostowanych (on-line) typu COTS (Commercial Of-The- Shelf) ma uprawniać użytkowników posiadających subskrypcję do wykorzystania usług on-line - usługi zarządzania tożsamością </w:t>
            </w:r>
            <w:r w:rsidRPr="00A41005">
              <w:rPr>
                <w:rFonts w:asciiTheme="minorHAnsi" w:hAnsiTheme="minorHAnsi" w:cstheme="minorHAnsi"/>
                <w:bCs/>
                <w:sz w:val="20"/>
              </w:rPr>
              <w:lastRenderedPageBreak/>
              <w:t>użytkowników, portalu wewnętrznego, poczty elektronicznej, narzędzi wiadomości błyskawicznych, konferencji głosowych i video, repozytorium dokumentów, wewnętrznego serwisu społecznościowego oraz edycji dokumentów biurowych on-line (dalej Usługi).</w:t>
            </w:r>
          </w:p>
          <w:p w14:paraId="698F23F9" w14:textId="77777777" w:rsidR="008D5B90" w:rsidRPr="00A41005" w:rsidRDefault="008D5B90" w:rsidP="008D5B9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Wymagania dotyczące usługi hostowanej:</w:t>
            </w:r>
          </w:p>
          <w:p w14:paraId="3363F1B5"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Wszystkie elementy Usługi muszą pozwalać na dostęp użytkowników na zasadzie uwierzytelnienia wykorzystującego mechanizm logowania pozwalający na autoryzację użytkowników w usłudze poprzez wbudowaną usługę zarządzania tożsamością użytkowników,</w:t>
            </w:r>
          </w:p>
          <w:p w14:paraId="1C3C75F6"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Wbudowana Usługa zarządzania tożsamością użytkowników musi umożliwiać realizację pojedynczego logowania (single sign-on) dla użytkowników logujących się do własnej usługi katalogowej Active Directory,</w:t>
            </w:r>
          </w:p>
          <w:p w14:paraId="5686239A"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portalu administracyjnego do zarządzania Usługą oraz zasadami grup.</w:t>
            </w:r>
          </w:p>
          <w:p w14:paraId="73109E7D"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mechanizmy ochrony informacji z mechanizmami śledzenia wycieków informacji z poczty elektronicznej i przechowywanych plików,</w:t>
            </w:r>
          </w:p>
          <w:p w14:paraId="5F9D0F8E"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Ochrona danych w systemie poczty elektronicznej przed złośliwym oprogramowaniem i wirusami oraz atakami typu zero-day,</w:t>
            </w:r>
          </w:p>
          <w:p w14:paraId="276A9507"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Gwarantowana dostępność usług platformy na poziomie 99,9%,</w:t>
            </w:r>
          </w:p>
          <w:p w14:paraId="3EE3EA3C"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Zastosowanie w platformie powszechnie uznanych i rozpowszechnionych standardów przemysłowych, pozwalających na potencjalne wykorzystanie różnych technologii i rozwiązań w ramach jednej platformy, w szczególności:</w:t>
            </w:r>
          </w:p>
          <w:p w14:paraId="489DDE95" w14:textId="77777777" w:rsidR="008D5B90" w:rsidRPr="00A41005" w:rsidRDefault="008D5B90" w:rsidP="008D5B90">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ISO 27001, ISO 27017, ISO 27018 lub równoważnych,</w:t>
            </w:r>
          </w:p>
          <w:p w14:paraId="6B70CB59" w14:textId="77777777" w:rsidR="008D5B90" w:rsidRPr="00A41005" w:rsidRDefault="008D5B90" w:rsidP="008D5B90">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SOC 2 lub 3 lub równoważnego,</w:t>
            </w:r>
          </w:p>
          <w:p w14:paraId="613611A3" w14:textId="77777777" w:rsidR="008D5B90" w:rsidRPr="00A41005" w:rsidRDefault="008D5B90" w:rsidP="008D5B90">
            <w:pPr>
              <w:pStyle w:val="Akapitzlist"/>
              <w:numPr>
                <w:ilvl w:val="1"/>
                <w:numId w:val="34"/>
              </w:numPr>
              <w:contextualSpacing w:val="0"/>
              <w:jc w:val="both"/>
              <w:rPr>
                <w:rFonts w:asciiTheme="minorHAnsi" w:hAnsiTheme="minorHAnsi" w:cstheme="minorHAnsi"/>
                <w:bCs/>
                <w:sz w:val="20"/>
                <w:lang w:val="en-GB"/>
              </w:rPr>
            </w:pPr>
            <w:r w:rsidRPr="00A41005">
              <w:rPr>
                <w:rFonts w:asciiTheme="minorHAnsi" w:hAnsiTheme="minorHAnsi" w:cstheme="minorHAnsi"/>
                <w:bCs/>
                <w:sz w:val="20"/>
                <w:lang w:val="en-GB"/>
              </w:rPr>
              <w:t>Open Authentication Standard – Oauth lub równoważnego,</w:t>
            </w:r>
          </w:p>
          <w:p w14:paraId="724F813D"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6F1DF7FE"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na żądanie wyników aktualnych audytów, w tym audytów bezpieczeństwa, dla usług i centrów przetwarzania danych oferujących te usługi i audytów związanych z ochroną danych osobowych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w:t>
            </w:r>
          </w:p>
          <w:p w14:paraId="6BBFCEC5"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386C5361"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2EC774CD"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34D897AB"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raportów odnośnie logów z urządzeń potencjalnie zainfekowanych, z sieci botnetowych,</w:t>
            </w:r>
          </w:p>
          <w:p w14:paraId="743F41A0"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39C59468"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6BDB283B"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w:t>
            </w:r>
            <w:r w:rsidRPr="00A41005">
              <w:rPr>
                <w:rFonts w:asciiTheme="minorHAnsi" w:hAnsiTheme="minorHAnsi" w:cstheme="minorHAnsi"/>
                <w:bCs/>
                <w:sz w:val="20"/>
              </w:rPr>
              <w:lastRenderedPageBreak/>
              <w:t>funkcjonalności przez 90 dni od daty wygaśnięcia lub wypowiedzenia subskrypcji w celu umożliwienia ich odzyskania. Po upływie tego 90-dniowego okresu przechowywania konto związane z subskrypcją Usługi ma zostać wyłączone a dane Zamawiającego usunięte,</w:t>
            </w:r>
          </w:p>
          <w:p w14:paraId="51A34017"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 do Usługi musi być możliwy z dowolnego urządzenia klasy PC, tabletu lub telefonu wyposażonego w system operacyjny Linux, Windows lub Apple OS,</w:t>
            </w:r>
          </w:p>
          <w:p w14:paraId="7EDE987B"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Subskrypcja Usługi musi umożliwiać zmianę jej przypisania do innego użytkownika będącego pracownikiem Zamawiającego,</w:t>
            </w:r>
          </w:p>
          <w:p w14:paraId="3C8C96A1"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Centra przetwarzania świadczące Usługę muszą znajdować się na terenie Europejskiego Obszaru Gospodarczego,</w:t>
            </w:r>
          </w:p>
          <w:p w14:paraId="787B6059"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musi zapewniać szyfrowanie danych przesyłanych za pomocą sieci publicznych,</w:t>
            </w:r>
          </w:p>
          <w:p w14:paraId="302C2993"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ma zapewniać usunięcie danych Zamawiającego po zakończeniu okresu jej subskrypcji,</w:t>
            </w:r>
          </w:p>
          <w:p w14:paraId="2943ADF7"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Zobowiązania umowne potwierdzające zgodność z RODO i podmiotu przetwarzającego w rozumieniu RODO,</w:t>
            </w:r>
          </w:p>
          <w:p w14:paraId="2475B419"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Zobowiązanie umowne o pozostawieniu całkowitej własności przetwarzanych/składowanych w usłudze danych po stronie Zamawiającego,</w:t>
            </w:r>
          </w:p>
          <w:p w14:paraId="528AF4FA"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Mechanizmy pozwalające na realizację wymagań rozliczalności i monitorowania użytkowników i usług,</w:t>
            </w:r>
          </w:p>
          <w:p w14:paraId="37E5091E" w14:textId="77777777" w:rsidR="008D5B90" w:rsidRPr="00A41005" w:rsidRDefault="008D5B90" w:rsidP="008D5B9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Gwarancja braku dostępu do danych Zamawiającego na platformie, z wyłączeniem działań serwisowych wymagających każdorazowo zgody Zamawiającego i wykonywanych wyłącznie przez uprawnione osoby z organizacji dostawcy platformy;</w:t>
            </w:r>
          </w:p>
          <w:p w14:paraId="689B85C2" w14:textId="77777777" w:rsidR="008D5B90" w:rsidRPr="00A41005" w:rsidRDefault="008D5B90" w:rsidP="008D5B9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spełniać następujące wymagania:</w:t>
            </w:r>
          </w:p>
          <w:p w14:paraId="316756B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Usługa musi umożliwiać:</w:t>
            </w:r>
          </w:p>
          <w:p w14:paraId="6476924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obsługę poczty elektronicznej,</w:t>
            </w:r>
          </w:p>
          <w:p w14:paraId="33D5B76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czasem,</w:t>
            </w:r>
          </w:p>
          <w:p w14:paraId="28E9EAE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zasobami,</w:t>
            </w:r>
          </w:p>
          <w:p w14:paraId="30E626E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kontaktami i komunikacją,</w:t>
            </w:r>
          </w:p>
          <w:p w14:paraId="086FCE4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Usługa musi dostarczać kompleksową funkcjonalność zdefiniowaną w opisie oraz narzędzia administracyjne:</w:t>
            </w:r>
          </w:p>
          <w:p w14:paraId="4449498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Zarządzania użytkownikami poczty,</w:t>
            </w:r>
          </w:p>
          <w:p w14:paraId="4A9630F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migracji z innych systemów poczty,</w:t>
            </w:r>
          </w:p>
          <w:p w14:paraId="7EE1F9D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zakładania kont użytkowników na podstawie profili własnych usług katalogowych,</w:t>
            </w:r>
          </w:p>
          <w:p w14:paraId="3E3A226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integracji własnej usługi katalogowej (Active Directory) z usługą hostowana poczty,</w:t>
            </w:r>
          </w:p>
          <w:p w14:paraId="5746313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Dostęp do usługi hostowanej systemu pocztowego musi być możliwy przy pomocy:</w:t>
            </w:r>
          </w:p>
          <w:p w14:paraId="3ADAF17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Posiadanego oprogramowania Outlook 2016,</w:t>
            </w:r>
          </w:p>
          <w:p w14:paraId="7C6EE81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Przeglądarki (Web Access),</w:t>
            </w:r>
          </w:p>
          <w:p w14:paraId="45CB274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Urządzeń mobilnych,</w:t>
            </w:r>
          </w:p>
          <w:p w14:paraId="1DAEB61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Wymagane cechy usługi to:</w:t>
            </w:r>
          </w:p>
          <w:p w14:paraId="528D893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Skrzynki pocztowe dla każdego użytkownika o pojemności minimum 30 GB,</w:t>
            </w:r>
          </w:p>
          <w:p w14:paraId="1AD7026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Standardowy i łatwy sposób obsługi poczty elektronicznej,</w:t>
            </w:r>
          </w:p>
          <w:p w14:paraId="45837B4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najnowszych funkcji Outlook 2016, w tym tryb konwersacji, czy znajdowanie wolnych zasobów w kalendarzach, porównywanie i nakładanie kalendarzy, zaawansowane wyszukiwanie i filtrowanie wiadomości, wsparcie dla Internet Explorer, Firefox i Safari,</w:t>
            </w:r>
          </w:p>
          <w:p w14:paraId="601C976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Współdziałanie z innymi produktami takimi jak portal wielofunkcyjny czy serwer komunikacji wielokanałowej, a co za tym idzie uwspólnianie w </w:t>
            </w:r>
            <w:r w:rsidRPr="00A41005">
              <w:rPr>
                <w:rFonts w:asciiTheme="minorHAnsi" w:hAnsiTheme="minorHAnsi" w:cstheme="minorHAnsi"/>
                <w:bCs/>
                <w:sz w:val="20"/>
              </w:rPr>
              <w:lastRenderedPageBreak/>
              <w:t>obrębie wszystkich produktów statusu obecności, dostępu do profilu (opisu) użytkownika, wymianę informacji z kalendarzy,</w:t>
            </w:r>
          </w:p>
          <w:p w14:paraId="43E8162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Bezpieczny dostęp z każdego miejsca, w którym jest dostępny Internet.</w:t>
            </w:r>
          </w:p>
          <w:p w14:paraId="39A63BDE" w14:textId="77777777" w:rsidR="008D5B90" w:rsidRPr="00A41005" w:rsidRDefault="008D5B90" w:rsidP="008D5B9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się opierać o serwery poczty elektronicznej charakteryzujące się następującymi cechami, bez konieczności użycia rozwiązań firm trzecich:</w:t>
            </w:r>
          </w:p>
          <w:p w14:paraId="395396D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Funkcjonalność podstawowa:</w:t>
            </w:r>
          </w:p>
          <w:p w14:paraId="56CF15E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Odbieranie i wysyłanie poczty elektronicznej do adresatów wewnętrznych oraz zewnętrznych,</w:t>
            </w:r>
          </w:p>
          <w:p w14:paraId="6188A159"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Mechanizmy powiadomień o dostarczeniu i przeczytaniu wiadomości przez adresata,</w:t>
            </w:r>
          </w:p>
          <w:p w14:paraId="51A2D06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osobistymi kalendarzami, listami kontaktów, zadaniami, notatkami,</w:t>
            </w:r>
          </w:p>
          <w:p w14:paraId="6E2145D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0D826909"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Wsparcie dla zastosowania podpisu cyfrowego i szyfrowania wiadomości,</w:t>
            </w:r>
          </w:p>
          <w:p w14:paraId="5F043CD5"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Funkcjonalność wspierająca pracę grupową:</w:t>
            </w:r>
          </w:p>
          <w:p w14:paraId="409EAAE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przypisania różnych akcji dla adresata wysyłanej wiadomości, np. do wykonania czy do przeczytania w określonym terminie,</w:t>
            </w:r>
          </w:p>
          <w:p w14:paraId="220FD6A9"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określenia terminu wygaśnięcia wiadomości,</w:t>
            </w:r>
          </w:p>
          <w:p w14:paraId="54AACA5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Udostępnianie kalendarzy osobistych do wglądu i edycji innym użytkownikom, z możliwością definiowania poziomów dostępu,</w:t>
            </w:r>
          </w:p>
          <w:p w14:paraId="3721473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Podgląd stanu dostępności innych użytkowników w oparciu o ich kalendarze,</w:t>
            </w:r>
          </w:p>
          <w:p w14:paraId="12B6F4F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0FE12AC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prostego delegowania zadań do innych pracowników, wraz ze śledzeniem statusu ich wykonania,</w:t>
            </w:r>
          </w:p>
          <w:p w14:paraId="4C322BB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współdzielonymi repozytoriami kontaktów, kalendarzy, zadań,</w:t>
            </w:r>
          </w:p>
          <w:p w14:paraId="3BC30FA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list i grup dystrybucyjnych,</w:t>
            </w:r>
          </w:p>
          <w:p w14:paraId="453B3D4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ze skrzynki do poczty elektronicznej, poczty głosowej, wiadomości błyskawicznych,</w:t>
            </w:r>
          </w:p>
          <w:p w14:paraId="0CAB741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informowania zewnętrznych partnerów biznesowych o dostępności lub niedostępności, co umożliwia szybkie i wygodne ustalanie harmonogramu,</w:t>
            </w:r>
          </w:p>
          <w:p w14:paraId="289143E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wyboru poziomu szczegółowości udostępnianych informacji o dostępności,</w:t>
            </w:r>
          </w:p>
          <w:p w14:paraId="67E72C4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Widok rozmowy, który ułatwia nawigację w skrzynce odbiorczej, automatycznie organizując wątki wiadomości w oparciu o przebieg rozmowy między stronami,</w:t>
            </w:r>
          </w:p>
          <w:p w14:paraId="2A9A18C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74B454BD"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Transkrypcja tekstowa wiadomości głosowej, pozwalająca </w:t>
            </w:r>
            <w:r w:rsidRPr="00A41005">
              <w:rPr>
                <w:rFonts w:asciiTheme="minorHAnsi" w:hAnsiTheme="minorHAnsi" w:cstheme="minorHAnsi"/>
                <w:bCs/>
                <w:sz w:val="20"/>
              </w:rPr>
              <w:lastRenderedPageBreak/>
              <w:t>użytkownikom na szybkie priorytetyzowanie wiadomości bez potrzeby odsłuchiwania pliku dźwiękowego,</w:t>
            </w:r>
          </w:p>
          <w:p w14:paraId="4523D27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do całej skrzynki odbiorczej - w tym poczty elektronicznej, kalendarza i listy kontaktów - z poziomu urządzeń mobilnych,</w:t>
            </w:r>
          </w:p>
          <w:p w14:paraId="0A4D159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Udostępnienie użytkownikom możliwości aktualizacji danych kontaktowych i śledzenia odbierania wiadomości e-mail.</w:t>
            </w:r>
          </w:p>
          <w:p w14:paraId="4A4201D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Funkcjonalność wspierająca zarządzanie informacją w systemie pocztowym:</w:t>
            </w:r>
          </w:p>
          <w:p w14:paraId="614D99F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Centralne zarządzanie cyklem życia informacji przechowywanych w systemie pocztowym, w tym śledzenie i rejestrowanie ich przepływu, wygaszanie po zdefiniowanym okresie czasu, archiwizacja,</w:t>
            </w:r>
          </w:p>
          <w:p w14:paraId="7918015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Definiowanie kwot na rozmiar skrzynek pocztowych użytkowników, z możliwością ustawiania progu ostrzegawczego poniżej górnego limitu,</w:t>
            </w:r>
          </w:p>
          <w:p w14:paraId="28F8C02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definiowania różnych limitów dla różnych grup użytkowników,</w:t>
            </w:r>
          </w:p>
          <w:p w14:paraId="69EF4AC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1C1505F2"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przeniesienia lokalnych archiwów skrzynki pocztowej z komputera na serwer, co pozwala na wydajne zarządzanie i ujawnianie prawne,</w:t>
            </w:r>
          </w:p>
          <w:p w14:paraId="6D91D13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łatwiejszej klasyfikacji wiadomości e-mail dzięki definiowanym centralnie zasadom zachowywania, które można zastosować do poszczególnych wiadomości lub folderów,</w:t>
            </w:r>
          </w:p>
          <w:p w14:paraId="0E14A6B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w:t>
            </w:r>
          </w:p>
          <w:p w14:paraId="494D867D"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łatwego w użyciu interfejsu internetowego w celu wykonywania często spotykanych zadań związanych z pomocą techniczną.</w:t>
            </w:r>
          </w:p>
          <w:p w14:paraId="3E2D3D7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Wsparcie dla użytkowników mobilnych:</w:t>
            </w:r>
          </w:p>
          <w:p w14:paraId="689C69E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pracy off-line przy słabej łączności z serwerem lub jej całkowitym braku, z pełnym dostępem do danych przechowywanych w skrzynce pocztowej oraz z zachowaniem podstawowej funkcjonalności systemu opisanej w ust. 3 pkt 6) lit. a),</w:t>
            </w:r>
          </w:p>
          <w:p w14:paraId="5396C08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przełączanie się aplikacji klienckiej pomiędzy trybem on- line i off-line w zależności od stanu połączenia z serwerem,</w:t>
            </w:r>
          </w:p>
          <w:p w14:paraId="59656C3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„lekkiej” synchronizacji aplikacji klienckiej z serwerem w przypadku słabego łącza (tylko nagłówki wiadomości, tylko wiadomości poniżej określonego rozmiaru itp.),</w:t>
            </w:r>
          </w:p>
          <w:p w14:paraId="22F62E8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usług systemu pocztowego w podstawowym zakresie przy pomocy urządzeń mobilnych typu PDA, SmartPhone,</w:t>
            </w:r>
          </w:p>
          <w:p w14:paraId="59641775"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6FE4CD9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Umożliwienie - w przypadku korzystania z systemu pocztowego przez interfejs przeglądarkowy - podglądu typowych załączników (dokumenty PDF, MS Office) w postaci stron HTML, bez potrzeby posiadania na stacji użytkownika odpowiedniej aplikacji klienckiej,</w:t>
            </w:r>
          </w:p>
          <w:p w14:paraId="37B06E9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interfejsu dostępu do poczty w takich przeglądarkach, jak Internet Explorer, Apple Safari i Mozilla Firefox;</w:t>
            </w:r>
          </w:p>
          <w:p w14:paraId="068EF152" w14:textId="77777777" w:rsidR="008D5B90" w:rsidRPr="00A41005" w:rsidRDefault="008D5B90" w:rsidP="008D5B9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lastRenderedPageBreak/>
              <w:t>Pakiet biurowy instalowany na komputerach wyposażonych w system Windows musi spełniać następujące wymagania:</w:t>
            </w:r>
          </w:p>
          <w:p w14:paraId="34CC8A3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Wymagania odnośnie interfejsu użytkownika:</w:t>
            </w:r>
          </w:p>
          <w:p w14:paraId="25DE4482"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polska wersja językowa interfejsu użytkownika.</w:t>
            </w:r>
          </w:p>
          <w:p w14:paraId="5AF6E65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Oprogramowanie musi umożliwiać tworzenie i edycję dokumentów elektronicznych w ustalonym formacie, który spełnia następujące warunki:</w:t>
            </w:r>
          </w:p>
          <w:p w14:paraId="4CF0BEB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 kompletny i publicznie dostępny opis formatu,</w:t>
            </w:r>
          </w:p>
          <w:p w14:paraId="4AD1B4D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ma zdefiniowany układ informacji w postaci XML zgodnie z Tabelą B1 załącznika 2 Rozporządzenia Rady Ministrów z dnia 12 kwietnia 2012 r. w sprawie Krajowych Ram Interoperacyjności, minimalnych wymagań dla rejestrów publicznych i wymiany informacji w postaci elektronicznej oraz minimalnych wymagań dla systemów teleinformatycznych (Dz.U.z 2017 r. poz. 2247),</w:t>
            </w:r>
          </w:p>
          <w:p w14:paraId="6A13A30D"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Pakiet biurowy musi zawierać:</w:t>
            </w:r>
          </w:p>
          <w:p w14:paraId="0E6308B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Edytor tekstów,</w:t>
            </w:r>
          </w:p>
          <w:p w14:paraId="0852D41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Arkusz kalkulacyjny,</w:t>
            </w:r>
          </w:p>
          <w:p w14:paraId="6C9E336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Narzędzie do przygotowywania i prowadzenia prezentacji,</w:t>
            </w:r>
          </w:p>
          <w:p w14:paraId="0C266B6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Narzędzie do tworzenia notatek przy pomocy klawiatury lub notatek odręcznych,</w:t>
            </w:r>
          </w:p>
          <w:p w14:paraId="38F333C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Edytor tekstów musi umożliwiać:</w:t>
            </w:r>
          </w:p>
          <w:p w14:paraId="6516E9B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Edycję i formatowanie tekstu w języku polskim wraz z obsługą języka polskiego w zakresie sprawdzania pisowni i poprawności gramatycznej oraz funkcjonalnością słownika wyrazów bliskoznacznych i autokorekty,</w:t>
            </w:r>
          </w:p>
          <w:p w14:paraId="3B1195D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oraz formatowanie tabel,</w:t>
            </w:r>
          </w:p>
          <w:p w14:paraId="2CAED41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oraz formatowanie obiektów graficznych,</w:t>
            </w:r>
          </w:p>
          <w:p w14:paraId="4A0C496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wykresów i tabel z arkusza kalkulacyjnego,</w:t>
            </w:r>
          </w:p>
          <w:p w14:paraId="5468F1B2"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numerowanie rozdziałów, punktów, akapitów, tabel i rysunków,</w:t>
            </w:r>
          </w:p>
          <w:p w14:paraId="590D2E7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tworzenie spisów treści,</w:t>
            </w:r>
          </w:p>
          <w:p w14:paraId="69BCDEFA"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nagłówków i stopek stron,</w:t>
            </w:r>
          </w:p>
          <w:p w14:paraId="0DC302CD"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Sprawdzanie pisowni w języku polskim,</w:t>
            </w:r>
          </w:p>
          <w:p w14:paraId="0D4F2E1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Śledzenie zmian wprowadzonych przez użytkowników,</w:t>
            </w:r>
          </w:p>
          <w:p w14:paraId="31A8FED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Określenie układu strony (pionowa/pozioma),</w:t>
            </w:r>
          </w:p>
          <w:p w14:paraId="3B45D5C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Wydruk dokumentów,</w:t>
            </w:r>
          </w:p>
          <w:p w14:paraId="0125F774"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Pracę na dokumentach utworzonych przy pomocy Microsoft Word 2010 i 2016 z zapewnieniem konwersji wszystkich elementów i atrybutów dokumentu,</w:t>
            </w:r>
          </w:p>
          <w:p w14:paraId="2892C24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Zabezpieczenie dokumentów hasłem przed odczytem oraz przed wprowadzaniem modyfikacji,</w:t>
            </w:r>
          </w:p>
          <w:p w14:paraId="213507C6"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e)</w:t>
            </w:r>
            <w:r w:rsidRPr="00A41005">
              <w:rPr>
                <w:rFonts w:asciiTheme="minorHAnsi" w:hAnsiTheme="minorHAnsi" w:cstheme="minorHAnsi"/>
                <w:bCs/>
                <w:sz w:val="20"/>
              </w:rPr>
              <w:tab/>
              <w:t>Arkusz kalkulacyjny musi umożliwiać:</w:t>
            </w:r>
          </w:p>
          <w:p w14:paraId="0A78095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raportów tabelarycznych,</w:t>
            </w:r>
          </w:p>
          <w:p w14:paraId="3A0A241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wykresów liniowych (wraz z linią trendu), słupkowych, kołowych,</w:t>
            </w:r>
          </w:p>
          <w:p w14:paraId="3218006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arkuszy kalkulacyjnych zawierających teksty, dane liczbowe oraz formuły przeprowadzające operacje matematyczne, logiczne, tekstowe, statystyczne oraz operacje na danych finansowych i na miarach czasu,</w:t>
            </w:r>
          </w:p>
          <w:p w14:paraId="5DD54B3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Wyszukiwanie i zamianę danych,</w:t>
            </w:r>
          </w:p>
          <w:p w14:paraId="5AB41D6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Wykonywanie analiz danych przy użyciu formatowania warunkowego,</w:t>
            </w:r>
          </w:p>
          <w:p w14:paraId="4AD7F13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Nazywanie komórek arkusza i odwoływanie się w formułach po takiej nazwie,</w:t>
            </w:r>
          </w:p>
          <w:p w14:paraId="594EE40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czasu, daty i wartości finansowych z polskim formatem,</w:t>
            </w:r>
          </w:p>
          <w:p w14:paraId="428E370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 wielu arkuszy kalkulacyjnych w jednym pliku,</w:t>
            </w:r>
          </w:p>
          <w:p w14:paraId="64E215F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Zachowanie zgodności z formatami plików utworzonych za pomocą oprogramowania Microsoft Excel 2010 i 2016, z uwzględnieniem poprawnej realizacji użytych w nich funkcji specjalnych i makropoleceń,</w:t>
            </w:r>
          </w:p>
          <w:p w14:paraId="5072237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lastRenderedPageBreak/>
              <w:t>•</w:t>
            </w:r>
            <w:r w:rsidRPr="00A41005">
              <w:rPr>
                <w:rFonts w:asciiTheme="minorHAnsi" w:hAnsiTheme="minorHAnsi" w:cstheme="minorHAnsi"/>
                <w:bCs/>
                <w:sz w:val="20"/>
              </w:rPr>
              <w:tab/>
              <w:t>Zabezpieczenie dokumentów hasłem przed odczytem oraz przed wprowadzaniem modyfikacji,</w:t>
            </w:r>
          </w:p>
          <w:p w14:paraId="45C83C1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f)</w:t>
            </w:r>
            <w:r w:rsidRPr="00A41005">
              <w:rPr>
                <w:rFonts w:asciiTheme="minorHAnsi" w:hAnsiTheme="minorHAnsi" w:cstheme="minorHAnsi"/>
                <w:bCs/>
                <w:sz w:val="20"/>
              </w:rPr>
              <w:tab/>
              <w:t>Narzędzie do przygotowywania i prowadzenia prezentacji musi umożliwiać:</w:t>
            </w:r>
          </w:p>
          <w:p w14:paraId="2DB520DC"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Przygotowywanie prezentacji multimedialnych, które będą:</w:t>
            </w:r>
          </w:p>
          <w:p w14:paraId="18BA52B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Prezentowanie przy użyciu projektora multimedialnego,</w:t>
            </w:r>
          </w:p>
          <w:p w14:paraId="3F050D0E"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Drukowanie w formacie umożliwiającym robienie notatek,</w:t>
            </w:r>
          </w:p>
          <w:p w14:paraId="3FD2973F"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Zapisanie jako prezentacja tylko do odczytu,</w:t>
            </w:r>
          </w:p>
          <w:p w14:paraId="0D011878"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Nagrywanie narracji i dołączanie jej do prezentacji,</w:t>
            </w:r>
          </w:p>
          <w:p w14:paraId="7E145921"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Opatrywanie slajdów notatkami dla prezentera,</w:t>
            </w:r>
          </w:p>
          <w:p w14:paraId="6DAC4743"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i formatowanie tekstów, obiektów graficznych, tabel, nagrań dźwiękowych i wideo,</w:t>
            </w:r>
          </w:p>
          <w:p w14:paraId="0536D459"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tabel i wykresów pochodzących z arkusza kalkulacyjnego,</w:t>
            </w:r>
          </w:p>
          <w:p w14:paraId="237D0950"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Odświeżenie wykresu znajdującego się w prezentacji po zmianie danych w źródłowym arkuszu kalkulacyjnym,</w:t>
            </w:r>
          </w:p>
          <w:p w14:paraId="0EDB17A2"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tworzenia animacji obiektów i całych slajdów,</w:t>
            </w:r>
          </w:p>
          <w:p w14:paraId="062665F7"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Prowadzenie prezentacji w trybie prezentera, gdzie slajdy są widoczne na jednym monitorze lub projektorze, a na drugim widoczne są slajdy i notatki prezentera,</w:t>
            </w:r>
          </w:p>
          <w:p w14:paraId="0A226C7B" w14:textId="77777777" w:rsidR="008D5B90" w:rsidRPr="00A41005" w:rsidRDefault="008D5B90" w:rsidP="008D5B9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zgodność z formatami plików utworzonych za pomocą oprogramowania MS PowerPoint 2010, 2013 i 2016.</w:t>
            </w:r>
          </w:p>
          <w:p w14:paraId="65A8638D" w14:textId="77777777" w:rsidR="008D5B90" w:rsidRPr="00A41005" w:rsidRDefault="008D5B90" w:rsidP="008D5B90">
            <w:pPr>
              <w:pStyle w:val="Akapitzlist"/>
              <w:ind w:left="0"/>
              <w:contextualSpacing w:val="0"/>
              <w:rPr>
                <w:rFonts w:asciiTheme="minorHAnsi" w:hAnsiTheme="minorHAnsi" w:cstheme="minorHAnsi"/>
                <w:bCs/>
                <w:sz w:val="20"/>
              </w:rPr>
            </w:pPr>
            <w:r w:rsidRPr="00A41005">
              <w:rPr>
                <w:rFonts w:asciiTheme="minorHAnsi" w:hAnsiTheme="minorHAnsi" w:cstheme="minorHAnsi"/>
                <w:bCs/>
                <w:sz w:val="20"/>
              </w:rPr>
              <w:t>W przypadku zapewnienia usługi równoważnej konieczne będzie powierzenie Wykonawcy przetwarzania danych osobowych w zakresie narzędzi zapewniających przechowywanie i dostęp do takich danych.</w:t>
            </w:r>
          </w:p>
          <w:p w14:paraId="4256698A" w14:textId="2FA4E9DE" w:rsidR="008D5B90" w:rsidRPr="00A41005" w:rsidRDefault="008D5B90" w:rsidP="008D5B90">
            <w:pPr>
              <w:pStyle w:val="Akapitzlist"/>
              <w:ind w:left="0"/>
              <w:contextualSpacing w:val="0"/>
              <w:rPr>
                <w:rFonts w:asciiTheme="minorHAnsi" w:hAnsiTheme="minorHAnsi" w:cstheme="minorHAnsi"/>
                <w:sz w:val="20"/>
              </w:rPr>
            </w:pPr>
          </w:p>
        </w:tc>
      </w:tr>
      <w:tr w:rsidR="00472875" w:rsidRPr="00A41005" w14:paraId="16883E2F" w14:textId="77777777" w:rsidTr="00322A6B">
        <w:trPr>
          <w:trHeight w:val="1305"/>
        </w:trPr>
        <w:tc>
          <w:tcPr>
            <w:tcW w:w="1843" w:type="dxa"/>
          </w:tcPr>
          <w:p w14:paraId="794B86B3" w14:textId="77777777" w:rsidR="00472875" w:rsidRPr="00A41005" w:rsidRDefault="00472875" w:rsidP="00322A6B">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lastRenderedPageBreak/>
              <w:t>Gwarancja</w:t>
            </w:r>
          </w:p>
        </w:tc>
        <w:tc>
          <w:tcPr>
            <w:tcW w:w="7371" w:type="dxa"/>
          </w:tcPr>
          <w:p w14:paraId="617B8114"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Gwarancji jakości producenta:</w:t>
            </w:r>
          </w:p>
          <w:p w14:paraId="5A13C670" w14:textId="51613513" w:rsidR="00472875" w:rsidRPr="00A41005" w:rsidRDefault="00505115" w:rsidP="00322A6B">
            <w:pPr>
              <w:pStyle w:val="Akapitzlist"/>
              <w:widowControl/>
              <w:numPr>
                <w:ilvl w:val="1"/>
                <w:numId w:val="9"/>
              </w:numPr>
              <w:suppressAutoHyphens w:val="0"/>
              <w:rPr>
                <w:rFonts w:asciiTheme="minorHAnsi" w:hAnsiTheme="minorHAnsi" w:cstheme="minorHAnsi"/>
                <w:sz w:val="20"/>
              </w:rPr>
            </w:pPr>
            <w:r w:rsidRPr="00A41005">
              <w:rPr>
                <w:rFonts w:asciiTheme="minorHAnsi" w:hAnsiTheme="minorHAnsi" w:cstheme="minorHAnsi"/>
                <w:sz w:val="20"/>
              </w:rPr>
              <w:t>Na okres  co najmniej  24</w:t>
            </w:r>
            <w:r w:rsidR="00472875" w:rsidRPr="00A41005">
              <w:rPr>
                <w:rFonts w:asciiTheme="minorHAnsi" w:hAnsiTheme="minorHAnsi" w:cstheme="minorHAnsi"/>
                <w:sz w:val="20"/>
              </w:rPr>
              <w:t xml:space="preserve"> miesięcy - świadczonej  w siedzibie Zamawiającego,</w:t>
            </w:r>
          </w:p>
          <w:p w14:paraId="43B09F4A" w14:textId="626F2EB8" w:rsidR="00472875" w:rsidRPr="00A41005" w:rsidRDefault="00472875" w:rsidP="00322A6B">
            <w:pPr>
              <w:pStyle w:val="Akapitzlist"/>
              <w:widowControl/>
              <w:numPr>
                <w:ilvl w:val="1"/>
                <w:numId w:val="9"/>
              </w:numPr>
              <w:suppressAutoHyphens w:val="0"/>
              <w:rPr>
                <w:rFonts w:asciiTheme="minorHAnsi" w:hAnsiTheme="minorHAnsi" w:cstheme="minorHAnsi"/>
                <w:sz w:val="20"/>
              </w:rPr>
            </w:pPr>
            <w:r w:rsidRPr="00A41005">
              <w:rPr>
                <w:rFonts w:asciiTheme="minorHAnsi" w:hAnsiTheme="minorHAnsi" w:cstheme="minorHAnsi"/>
                <w:sz w:val="20"/>
              </w:rPr>
              <w:t xml:space="preserve">Naprawy gwarancyjne  urządzeń muszą być realizowane przez Producenta lub Autoryzowanego Partnera Serwisowego Producenta </w:t>
            </w:r>
          </w:p>
          <w:p w14:paraId="2A122E55" w14:textId="6E0C21E6" w:rsidR="00472875" w:rsidRPr="00A41005" w:rsidRDefault="00472875" w:rsidP="004619E4">
            <w:pPr>
              <w:pStyle w:val="Akapitzlist"/>
              <w:widowControl/>
              <w:numPr>
                <w:ilvl w:val="1"/>
                <w:numId w:val="9"/>
              </w:numPr>
              <w:suppressAutoHyphens w:val="0"/>
              <w:rPr>
                <w:rFonts w:asciiTheme="minorHAnsi" w:hAnsiTheme="minorHAnsi" w:cstheme="minorHAnsi"/>
                <w:sz w:val="20"/>
              </w:rPr>
            </w:pPr>
            <w:r w:rsidRPr="00A41005">
              <w:rPr>
                <w:rFonts w:asciiTheme="minorHAnsi" w:hAnsiTheme="minorHAnsi" w:cstheme="minorHAnsi"/>
                <w:sz w:val="20"/>
              </w:rPr>
              <w:t>Zgłoszenia serwisowe drogą online (formularz online producenta) , telefonicznie oraz mailem</w:t>
            </w:r>
            <w:r w:rsidR="004619E4" w:rsidRPr="00A41005">
              <w:rPr>
                <w:rFonts w:asciiTheme="minorHAnsi" w:hAnsiTheme="minorHAnsi" w:cstheme="minorHAnsi"/>
                <w:sz w:val="20"/>
              </w:rPr>
              <w:t>.</w:t>
            </w:r>
          </w:p>
        </w:tc>
      </w:tr>
    </w:tbl>
    <w:p w14:paraId="7E777804" w14:textId="4085098D" w:rsidR="000A2F73" w:rsidRDefault="000A2F73" w:rsidP="00472875">
      <w:pPr>
        <w:spacing w:after="0" w:line="240" w:lineRule="auto"/>
        <w:jc w:val="both"/>
        <w:rPr>
          <w:rFonts w:cs="Calibri"/>
          <w:sz w:val="24"/>
          <w:szCs w:val="24"/>
        </w:rPr>
      </w:pPr>
    </w:p>
    <w:p w14:paraId="4ACC435C" w14:textId="77777777" w:rsidR="00A41005" w:rsidRDefault="00A41005" w:rsidP="00472875">
      <w:pPr>
        <w:spacing w:after="0" w:line="240" w:lineRule="auto"/>
        <w:jc w:val="both"/>
        <w:rPr>
          <w:rFonts w:cs="Calibri"/>
          <w:sz w:val="24"/>
          <w:szCs w:val="24"/>
        </w:rPr>
      </w:pPr>
    </w:p>
    <w:p w14:paraId="1E99B3DC" w14:textId="1940F1CC" w:rsidR="00472875" w:rsidRDefault="00472875" w:rsidP="002D1787">
      <w:pPr>
        <w:pStyle w:val="Akapitzlist"/>
        <w:numPr>
          <w:ilvl w:val="0"/>
          <w:numId w:val="27"/>
        </w:numPr>
        <w:jc w:val="both"/>
        <w:rPr>
          <w:rFonts w:asciiTheme="minorHAnsi" w:hAnsiTheme="minorHAnsi" w:cstheme="minorHAnsi"/>
          <w:b/>
          <w:bCs/>
          <w:szCs w:val="24"/>
        </w:rPr>
      </w:pPr>
      <w:r w:rsidRPr="00487AFA">
        <w:rPr>
          <w:rFonts w:asciiTheme="minorHAnsi" w:hAnsiTheme="minorHAnsi" w:cstheme="minorHAnsi"/>
          <w:b/>
          <w:bCs/>
          <w:szCs w:val="24"/>
        </w:rPr>
        <w:t>Komputer ALLinONE w wersji podstawowej – 7</w:t>
      </w:r>
      <w:r w:rsidR="00A41005">
        <w:rPr>
          <w:rFonts w:asciiTheme="minorHAnsi" w:hAnsiTheme="minorHAnsi" w:cstheme="minorHAnsi"/>
          <w:b/>
          <w:bCs/>
          <w:szCs w:val="24"/>
        </w:rPr>
        <w:t xml:space="preserve"> </w:t>
      </w:r>
      <w:r w:rsidRPr="00487AFA">
        <w:rPr>
          <w:rFonts w:asciiTheme="minorHAnsi" w:hAnsiTheme="minorHAnsi" w:cstheme="minorHAnsi"/>
          <w:b/>
          <w:bCs/>
          <w:szCs w:val="24"/>
        </w:rPr>
        <w:t>sztuk</w:t>
      </w:r>
    </w:p>
    <w:p w14:paraId="028CABA4" w14:textId="77777777" w:rsidR="00A41005" w:rsidRPr="00A41005" w:rsidRDefault="00A41005" w:rsidP="00A41005">
      <w:pPr>
        <w:jc w:val="both"/>
        <w:rPr>
          <w:rFonts w:asciiTheme="minorHAnsi" w:hAnsiTheme="minorHAnsi" w:cstheme="minorHAnsi"/>
          <w:b/>
          <w:bCs/>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371"/>
      </w:tblGrid>
      <w:tr w:rsidR="00472875" w:rsidRPr="00A41005" w14:paraId="2FE33C08" w14:textId="77777777" w:rsidTr="00322A6B">
        <w:trPr>
          <w:trHeight w:val="699"/>
        </w:trPr>
        <w:tc>
          <w:tcPr>
            <w:tcW w:w="1843" w:type="dxa"/>
          </w:tcPr>
          <w:p w14:paraId="0995C37C" w14:textId="77777777" w:rsidR="00472875" w:rsidRPr="00A41005" w:rsidRDefault="00472875" w:rsidP="00322A6B">
            <w:pPr>
              <w:spacing w:after="0" w:line="240" w:lineRule="auto"/>
              <w:ind w:left="176"/>
              <w:rPr>
                <w:rFonts w:asciiTheme="minorHAnsi" w:hAnsiTheme="minorHAnsi" w:cstheme="minorHAnsi"/>
                <w:sz w:val="20"/>
                <w:szCs w:val="20"/>
              </w:rPr>
            </w:pPr>
            <w:r w:rsidRPr="00A41005">
              <w:rPr>
                <w:rFonts w:asciiTheme="minorHAnsi" w:hAnsiTheme="minorHAnsi" w:cstheme="minorHAnsi"/>
                <w:sz w:val="20"/>
                <w:szCs w:val="20"/>
              </w:rPr>
              <w:t>Zastosowanie</w:t>
            </w:r>
          </w:p>
        </w:tc>
        <w:tc>
          <w:tcPr>
            <w:tcW w:w="7371" w:type="dxa"/>
          </w:tcPr>
          <w:p w14:paraId="5179273D"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Komputer stacjonarny typu AllinOne (monitor i stacja robocza w jednej obudowie umożliwiającej instalację na biurku), który będzie wykorzystywany dla potrzeb aplikacji biurowych, aplikacji edukacyjnych, aplikacji obliczeniowych, dostępu do Internetu oraz poczty elektronicznej.</w:t>
            </w:r>
          </w:p>
        </w:tc>
      </w:tr>
      <w:tr w:rsidR="00472875" w:rsidRPr="00A41005" w14:paraId="76B41297" w14:textId="77777777" w:rsidTr="00322A6B">
        <w:tblPrEx>
          <w:tblCellMar>
            <w:left w:w="70" w:type="dxa"/>
            <w:right w:w="70" w:type="dxa"/>
          </w:tblCellMar>
          <w:tblLook w:val="0000" w:firstRow="0" w:lastRow="0" w:firstColumn="0" w:lastColumn="0" w:noHBand="0" w:noVBand="0"/>
        </w:tblPrEx>
        <w:trPr>
          <w:trHeight w:val="315"/>
        </w:trPr>
        <w:tc>
          <w:tcPr>
            <w:tcW w:w="1843" w:type="dxa"/>
          </w:tcPr>
          <w:p w14:paraId="3B82D5D3" w14:textId="77777777" w:rsidR="00472875" w:rsidRPr="00A41005" w:rsidRDefault="00472875"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Monitor:</w:t>
            </w:r>
          </w:p>
        </w:tc>
        <w:tc>
          <w:tcPr>
            <w:tcW w:w="7371" w:type="dxa"/>
          </w:tcPr>
          <w:p w14:paraId="2551CE1B"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Typ ekranu</w:t>
            </w:r>
            <w:r w:rsidRPr="00A41005">
              <w:rPr>
                <w:rFonts w:asciiTheme="minorHAnsi" w:hAnsiTheme="minorHAnsi" w:cstheme="minorHAnsi"/>
                <w:sz w:val="20"/>
                <w:szCs w:val="20"/>
              </w:rPr>
              <w:tab/>
              <w:t>płaski</w:t>
            </w:r>
          </w:p>
          <w:p w14:paraId="4E5C9C1A" w14:textId="70B93F33"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Przekątna</w:t>
            </w:r>
            <w:r w:rsidRPr="00A41005">
              <w:rPr>
                <w:rFonts w:asciiTheme="minorHAnsi" w:hAnsiTheme="minorHAnsi" w:cstheme="minorHAnsi"/>
                <w:sz w:val="20"/>
                <w:szCs w:val="20"/>
              </w:rPr>
              <w:tab/>
              <w:t>min 2</w:t>
            </w:r>
            <w:r w:rsidR="000147A0" w:rsidRPr="00A41005">
              <w:rPr>
                <w:rFonts w:asciiTheme="minorHAnsi" w:hAnsiTheme="minorHAnsi" w:cstheme="minorHAnsi"/>
                <w:sz w:val="20"/>
                <w:szCs w:val="20"/>
              </w:rPr>
              <w:t xml:space="preserve">3 </w:t>
            </w:r>
            <w:r w:rsidRPr="00A41005">
              <w:rPr>
                <w:rFonts w:asciiTheme="minorHAnsi" w:hAnsiTheme="minorHAnsi" w:cstheme="minorHAnsi"/>
                <w:sz w:val="20"/>
                <w:szCs w:val="20"/>
              </w:rPr>
              <w:t>cali</w:t>
            </w:r>
          </w:p>
          <w:p w14:paraId="51DD776C"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Rozdzielczość nominalna min</w:t>
            </w:r>
            <w:r w:rsidRPr="00A41005">
              <w:rPr>
                <w:rFonts w:asciiTheme="minorHAnsi" w:hAnsiTheme="minorHAnsi" w:cstheme="minorHAnsi"/>
                <w:sz w:val="20"/>
                <w:szCs w:val="20"/>
              </w:rPr>
              <w:tab/>
              <w:t>1920 x 1080 (Full HD) piksele</w:t>
            </w:r>
          </w:p>
          <w:p w14:paraId="383B4C3E"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Powłoka matrycy</w:t>
            </w:r>
            <w:r w:rsidRPr="00A41005">
              <w:rPr>
                <w:rFonts w:asciiTheme="minorHAnsi" w:hAnsiTheme="minorHAnsi" w:cstheme="minorHAnsi"/>
                <w:sz w:val="20"/>
                <w:szCs w:val="20"/>
              </w:rPr>
              <w:tab/>
              <w:t>antyrefleksyjna</w:t>
            </w:r>
          </w:p>
          <w:p w14:paraId="55E8B07A"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Typ matrycy</w:t>
            </w:r>
            <w:r w:rsidRPr="00A41005">
              <w:rPr>
                <w:rFonts w:asciiTheme="minorHAnsi" w:hAnsiTheme="minorHAnsi" w:cstheme="minorHAnsi"/>
                <w:sz w:val="20"/>
                <w:szCs w:val="20"/>
              </w:rPr>
              <w:tab/>
              <w:t>IPS</w:t>
            </w:r>
          </w:p>
          <w:p w14:paraId="23AB8E13"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Rodzaj podświetlenia</w:t>
            </w:r>
            <w:r w:rsidRPr="00A41005">
              <w:rPr>
                <w:rFonts w:asciiTheme="minorHAnsi" w:hAnsiTheme="minorHAnsi" w:cstheme="minorHAnsi"/>
                <w:sz w:val="20"/>
                <w:szCs w:val="20"/>
              </w:rPr>
              <w:tab/>
              <w:t>LED</w:t>
            </w:r>
          </w:p>
          <w:p w14:paraId="07763A6F" w14:textId="2AA4F10D" w:rsidR="00472875" w:rsidRPr="00A41005" w:rsidRDefault="006F7173" w:rsidP="00322A6B">
            <w:pPr>
              <w:spacing w:after="0"/>
              <w:rPr>
                <w:rFonts w:asciiTheme="minorHAnsi" w:hAnsiTheme="minorHAnsi" w:cstheme="minorHAnsi"/>
                <w:sz w:val="20"/>
                <w:szCs w:val="20"/>
              </w:rPr>
            </w:pPr>
            <w:r>
              <w:rPr>
                <w:rFonts w:asciiTheme="minorHAnsi" w:hAnsiTheme="minorHAnsi" w:cstheme="minorHAnsi"/>
                <w:sz w:val="20"/>
                <w:szCs w:val="20"/>
              </w:rPr>
              <w:t>Częstotliwość odświeżania</w:t>
            </w:r>
            <w:r>
              <w:rPr>
                <w:rFonts w:asciiTheme="minorHAnsi" w:hAnsiTheme="minorHAnsi" w:cstheme="minorHAnsi"/>
                <w:sz w:val="20"/>
                <w:szCs w:val="20"/>
              </w:rPr>
              <w:tab/>
              <w:t>60</w:t>
            </w:r>
            <w:r w:rsidR="00472875" w:rsidRPr="00A41005">
              <w:rPr>
                <w:rFonts w:asciiTheme="minorHAnsi" w:hAnsiTheme="minorHAnsi" w:cstheme="minorHAnsi"/>
                <w:sz w:val="20"/>
                <w:szCs w:val="20"/>
              </w:rPr>
              <w:t xml:space="preserve"> Hz</w:t>
            </w:r>
          </w:p>
          <w:p w14:paraId="3AA0EEF0" w14:textId="77777777" w:rsidR="00472875" w:rsidRPr="00A41005" w:rsidRDefault="00472875" w:rsidP="00322A6B">
            <w:pPr>
              <w:spacing w:after="0"/>
              <w:rPr>
                <w:rFonts w:asciiTheme="minorHAnsi" w:hAnsiTheme="minorHAnsi" w:cstheme="minorHAnsi"/>
                <w:sz w:val="20"/>
                <w:szCs w:val="20"/>
              </w:rPr>
            </w:pPr>
            <w:r w:rsidRPr="00A41005">
              <w:rPr>
                <w:rFonts w:asciiTheme="minorHAnsi" w:hAnsiTheme="minorHAnsi" w:cstheme="minorHAnsi"/>
                <w:sz w:val="20"/>
                <w:szCs w:val="20"/>
              </w:rPr>
              <w:t>Możliwość regulacji</w:t>
            </w:r>
            <w:r w:rsidRPr="00A41005">
              <w:rPr>
                <w:rFonts w:asciiTheme="minorHAnsi" w:hAnsiTheme="minorHAnsi" w:cstheme="minorHAnsi"/>
                <w:sz w:val="20"/>
                <w:szCs w:val="20"/>
              </w:rPr>
              <w:tab/>
              <w:t>pochył</w:t>
            </w:r>
          </w:p>
          <w:p w14:paraId="5FB5254C" w14:textId="77777777" w:rsidR="00472875" w:rsidRPr="00A41005" w:rsidRDefault="00472875" w:rsidP="00322A6B">
            <w:pPr>
              <w:suppressAutoHyphens/>
              <w:spacing w:after="0"/>
              <w:rPr>
                <w:rFonts w:asciiTheme="minorHAnsi" w:hAnsiTheme="minorHAnsi" w:cstheme="minorHAnsi"/>
                <w:sz w:val="20"/>
                <w:szCs w:val="20"/>
                <w:u w:val="single"/>
              </w:rPr>
            </w:pPr>
            <w:r w:rsidRPr="00A41005">
              <w:rPr>
                <w:rFonts w:asciiTheme="minorHAnsi" w:hAnsiTheme="minorHAnsi" w:cstheme="minorHAnsi"/>
                <w:sz w:val="20"/>
                <w:szCs w:val="20"/>
                <w:u w:val="single"/>
              </w:rPr>
              <w:t>Pozostałe cechy</w:t>
            </w:r>
          </w:p>
          <w:p w14:paraId="4364C2AE" w14:textId="77777777" w:rsidR="00472875" w:rsidRPr="00A41005" w:rsidRDefault="00472875" w:rsidP="00322A6B">
            <w:pPr>
              <w:suppressAutoHyphens/>
              <w:spacing w:after="0"/>
              <w:rPr>
                <w:rFonts w:asciiTheme="minorHAnsi" w:hAnsiTheme="minorHAnsi" w:cstheme="minorHAnsi"/>
                <w:sz w:val="20"/>
                <w:szCs w:val="20"/>
              </w:rPr>
            </w:pPr>
            <w:r w:rsidRPr="00A41005">
              <w:rPr>
                <w:rFonts w:asciiTheme="minorHAnsi" w:hAnsiTheme="minorHAnsi" w:cstheme="minorHAnsi"/>
                <w:sz w:val="20"/>
                <w:szCs w:val="20"/>
              </w:rPr>
              <w:t>kabel VGA</w:t>
            </w:r>
          </w:p>
          <w:p w14:paraId="0B8D6089" w14:textId="77777777" w:rsidR="00472875" w:rsidRPr="00A41005" w:rsidRDefault="00472875" w:rsidP="00322A6B">
            <w:pPr>
              <w:suppressAutoHyphens/>
              <w:spacing w:after="0"/>
              <w:rPr>
                <w:rFonts w:asciiTheme="minorHAnsi" w:hAnsiTheme="minorHAnsi" w:cstheme="minorHAnsi"/>
                <w:sz w:val="20"/>
                <w:szCs w:val="20"/>
              </w:rPr>
            </w:pPr>
            <w:r w:rsidRPr="00A41005">
              <w:rPr>
                <w:rFonts w:asciiTheme="minorHAnsi" w:hAnsiTheme="minorHAnsi" w:cstheme="minorHAnsi"/>
                <w:sz w:val="20"/>
                <w:szCs w:val="20"/>
              </w:rPr>
              <w:lastRenderedPageBreak/>
              <w:t>kabel zasilający</w:t>
            </w:r>
          </w:p>
          <w:p w14:paraId="49BD1AA5" w14:textId="77777777" w:rsidR="00472875" w:rsidRPr="00A41005" w:rsidRDefault="00472875" w:rsidP="00322A6B">
            <w:pPr>
              <w:suppressAutoHyphens/>
              <w:spacing w:after="0"/>
              <w:rPr>
                <w:rFonts w:asciiTheme="minorHAnsi" w:hAnsiTheme="minorHAnsi" w:cstheme="minorHAnsi"/>
                <w:sz w:val="20"/>
                <w:szCs w:val="20"/>
              </w:rPr>
            </w:pPr>
            <w:r w:rsidRPr="00A41005">
              <w:rPr>
                <w:rFonts w:asciiTheme="minorHAnsi" w:hAnsiTheme="minorHAnsi" w:cstheme="minorHAnsi"/>
                <w:sz w:val="20"/>
                <w:szCs w:val="20"/>
              </w:rPr>
              <w:t>zasilacz</w:t>
            </w:r>
          </w:p>
        </w:tc>
      </w:tr>
      <w:tr w:rsidR="00472875" w:rsidRPr="00A41005" w14:paraId="3059A4D7" w14:textId="77777777" w:rsidTr="00322A6B">
        <w:tc>
          <w:tcPr>
            <w:tcW w:w="1843" w:type="dxa"/>
          </w:tcPr>
          <w:p w14:paraId="753A2536"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lastRenderedPageBreak/>
              <w:t>Wydajność</w:t>
            </w:r>
          </w:p>
        </w:tc>
        <w:tc>
          <w:tcPr>
            <w:tcW w:w="7371" w:type="dxa"/>
          </w:tcPr>
          <w:p w14:paraId="52B27A48" w14:textId="77DD31EB"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Procesor klasy x86 ze zintegrowaną grafiką, zapewniający równoważną wydajność całego oferowanego </w:t>
            </w:r>
            <w:r w:rsidR="00E50FB8" w:rsidRPr="00A41005">
              <w:rPr>
                <w:rFonts w:asciiTheme="minorHAnsi" w:hAnsiTheme="minorHAnsi" w:cstheme="minorHAnsi"/>
                <w:sz w:val="20"/>
              </w:rPr>
              <w:t>komputera</w:t>
            </w:r>
            <w:r w:rsidRPr="00A41005">
              <w:rPr>
                <w:rFonts w:asciiTheme="minorHAnsi" w:hAnsiTheme="minorHAnsi" w:cstheme="minorHAnsi"/>
                <w:sz w:val="20"/>
              </w:rPr>
              <w:t xml:space="preserve"> (Rating) min. </w:t>
            </w:r>
            <w:r w:rsidR="000147A0" w:rsidRPr="00A41005">
              <w:rPr>
                <w:rFonts w:asciiTheme="minorHAnsi" w:hAnsiTheme="minorHAnsi" w:cstheme="minorHAnsi"/>
                <w:sz w:val="20"/>
              </w:rPr>
              <w:t>95</w:t>
            </w:r>
            <w:r w:rsidRPr="00A41005">
              <w:rPr>
                <w:rFonts w:asciiTheme="minorHAnsi" w:hAnsiTheme="minorHAnsi" w:cstheme="minorHAnsi"/>
                <w:sz w:val="20"/>
              </w:rPr>
              <w:t xml:space="preserve">00 pkt. w  teście Passmark CPU Mark 10 wg wyników dostępnych na stronie: </w:t>
            </w:r>
            <w:hyperlink r:id="rId10" w:history="1">
              <w:r w:rsidRPr="00A41005">
                <w:rPr>
                  <w:rStyle w:val="Hipercze"/>
                  <w:rFonts w:asciiTheme="minorHAnsi" w:hAnsiTheme="minorHAnsi" w:cstheme="minorHAnsi"/>
                  <w:sz w:val="20"/>
                </w:rPr>
                <w:t>https://www.cpubenchmark.net/high_end_cpus.html</w:t>
              </w:r>
            </w:hyperlink>
          </w:p>
          <w:p w14:paraId="240A0B21"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Wynik aktualny na dzień publikacji postępowania.</w:t>
            </w:r>
          </w:p>
        </w:tc>
      </w:tr>
      <w:tr w:rsidR="00472875" w:rsidRPr="00A41005" w14:paraId="02FCFB18" w14:textId="77777777" w:rsidTr="00322A6B">
        <w:tc>
          <w:tcPr>
            <w:tcW w:w="1843" w:type="dxa"/>
          </w:tcPr>
          <w:p w14:paraId="7A159A41"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Pamięć RAM</w:t>
            </w:r>
          </w:p>
        </w:tc>
        <w:tc>
          <w:tcPr>
            <w:tcW w:w="7371" w:type="dxa"/>
          </w:tcPr>
          <w:p w14:paraId="29CB9AC3" w14:textId="14BEFBD8"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 xml:space="preserve">Pamięć operacyjna: 8 GB z możliwością rozbudowy do min </w:t>
            </w:r>
            <w:r w:rsidR="000147A0" w:rsidRPr="00A41005">
              <w:rPr>
                <w:rFonts w:asciiTheme="minorHAnsi" w:hAnsiTheme="minorHAnsi" w:cstheme="minorHAnsi"/>
                <w:sz w:val="20"/>
              </w:rPr>
              <w:t>16</w:t>
            </w:r>
            <w:r w:rsidRPr="00A41005">
              <w:rPr>
                <w:rFonts w:asciiTheme="minorHAnsi" w:hAnsiTheme="minorHAnsi" w:cstheme="minorHAnsi"/>
                <w:sz w:val="20"/>
              </w:rPr>
              <w:t>GB.</w:t>
            </w:r>
          </w:p>
        </w:tc>
      </w:tr>
      <w:tr w:rsidR="00472875" w:rsidRPr="00A41005" w14:paraId="6E08400C" w14:textId="77777777" w:rsidTr="00322A6B">
        <w:tc>
          <w:tcPr>
            <w:tcW w:w="1843" w:type="dxa"/>
          </w:tcPr>
          <w:p w14:paraId="3E396970"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Pamięć masowa</w:t>
            </w:r>
          </w:p>
        </w:tc>
        <w:tc>
          <w:tcPr>
            <w:tcW w:w="7371" w:type="dxa"/>
          </w:tcPr>
          <w:p w14:paraId="3B8EBD7D" w14:textId="5F8C63D1"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Parametry pamięci masowej: dysk SSD M.2 NVMe o pojemności min. 256</w:t>
            </w:r>
            <w:r w:rsidR="008E1AEB" w:rsidRPr="00A41005">
              <w:rPr>
                <w:rFonts w:asciiTheme="minorHAnsi" w:hAnsiTheme="minorHAnsi" w:cstheme="minorHAnsi"/>
                <w:sz w:val="20"/>
              </w:rPr>
              <w:t xml:space="preserve"> GB</w:t>
            </w:r>
            <w:r w:rsidRPr="00A41005">
              <w:rPr>
                <w:rFonts w:asciiTheme="minorHAnsi" w:hAnsiTheme="minorHAnsi" w:cstheme="minorHAnsi"/>
                <w:sz w:val="20"/>
              </w:rPr>
              <w:t xml:space="preserve">, </w:t>
            </w:r>
            <w:r w:rsidRPr="00A41005">
              <w:rPr>
                <w:rFonts w:asciiTheme="minorHAnsi" w:hAnsiTheme="minorHAnsi" w:cstheme="minorHAnsi"/>
                <w:bCs/>
                <w:sz w:val="20"/>
                <w:lang w:eastAsia="en-US"/>
              </w:rPr>
              <w:t>zawierający partycję RECOVERY umożliwiającą odtworzenie systemu operacyjnego fabrycznie zainstalowanego na komputerze po awarii bez dodatkowych nośników.</w:t>
            </w:r>
          </w:p>
        </w:tc>
      </w:tr>
      <w:tr w:rsidR="00472875" w:rsidRPr="00A41005" w14:paraId="0AE5B776" w14:textId="77777777" w:rsidTr="00322A6B">
        <w:tc>
          <w:tcPr>
            <w:tcW w:w="1843" w:type="dxa"/>
          </w:tcPr>
          <w:p w14:paraId="4D8DEBD1"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Wirtualizacja</w:t>
            </w:r>
          </w:p>
        </w:tc>
        <w:tc>
          <w:tcPr>
            <w:tcW w:w="7371" w:type="dxa"/>
          </w:tcPr>
          <w:p w14:paraId="589C9AA6"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Sprzętowe wsparcie technologii wirtualizacji procesorów, pamięci i urządzeń I/O realizowane łącznie w procesorze, chipsecie płyty głównej oraz w BIOS systemu (możliwość włączenia/wyłączenia sprzętowego wsparcia wirtualizacji)</w:t>
            </w:r>
          </w:p>
        </w:tc>
      </w:tr>
      <w:tr w:rsidR="00472875" w:rsidRPr="00A41005" w14:paraId="38DEF622" w14:textId="77777777" w:rsidTr="00322A6B">
        <w:tc>
          <w:tcPr>
            <w:tcW w:w="1843" w:type="dxa"/>
          </w:tcPr>
          <w:p w14:paraId="29BBE596"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Bezpieczeństwo</w:t>
            </w:r>
          </w:p>
        </w:tc>
        <w:tc>
          <w:tcPr>
            <w:tcW w:w="7371" w:type="dxa"/>
          </w:tcPr>
          <w:p w14:paraId="28637C6B"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Sprzętowe wsparcie technologii weryfikacji poprawności podpisu cyfrowego wykonywanego kodu oprogramowania, oraz sprzętowa izolacja segmentów pamięci dla kodu wykonywanego w trybie zaufanym wbudowane w procesor, kontroler pamięci, chipset I/O.</w:t>
            </w:r>
          </w:p>
          <w:p w14:paraId="6617C49F"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bCs/>
                <w:sz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Co najmniej zgodne z TPM 2.0.</w:t>
            </w:r>
          </w:p>
        </w:tc>
      </w:tr>
      <w:tr w:rsidR="00472875" w:rsidRPr="00A41005" w14:paraId="792865F1" w14:textId="77777777" w:rsidTr="00322A6B">
        <w:tc>
          <w:tcPr>
            <w:tcW w:w="1843" w:type="dxa"/>
          </w:tcPr>
          <w:p w14:paraId="5C953F2E"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Porty i złącza</w:t>
            </w:r>
          </w:p>
        </w:tc>
        <w:tc>
          <w:tcPr>
            <w:tcW w:w="7371" w:type="dxa"/>
          </w:tcPr>
          <w:p w14:paraId="4463CB2A" w14:textId="3D3DC8B6"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 xml:space="preserve">Min. </w:t>
            </w:r>
            <w:r w:rsidR="000147A0" w:rsidRPr="00A41005">
              <w:rPr>
                <w:rFonts w:asciiTheme="minorHAnsi" w:hAnsiTheme="minorHAnsi" w:cstheme="minorHAnsi"/>
                <w:sz w:val="20"/>
              </w:rPr>
              <w:t>2</w:t>
            </w:r>
            <w:r w:rsidRPr="00A41005">
              <w:rPr>
                <w:rFonts w:asciiTheme="minorHAnsi" w:hAnsiTheme="minorHAnsi" w:cstheme="minorHAnsi"/>
                <w:sz w:val="20"/>
              </w:rPr>
              <w:t>x UB 3.2 Gen2</w:t>
            </w:r>
          </w:p>
          <w:p w14:paraId="4375F688" w14:textId="77777777"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Min. 2x USB 2.0 lub 3.0</w:t>
            </w:r>
          </w:p>
          <w:p w14:paraId="1F7F84F1" w14:textId="77777777"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HDMI w wersji co najmniej 1.4</w:t>
            </w:r>
          </w:p>
          <w:p w14:paraId="7A1BDA9A" w14:textId="77777777"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Audio: port combo mikrofon/słuchawki</w:t>
            </w:r>
          </w:p>
          <w:p w14:paraId="199E49F9" w14:textId="7D6ACF33"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 xml:space="preserve">Karta Wi-Fi </w:t>
            </w:r>
            <w:r w:rsidR="000147A0" w:rsidRPr="00A41005">
              <w:rPr>
                <w:rFonts w:asciiTheme="minorHAnsi" w:hAnsiTheme="minorHAnsi" w:cstheme="minorHAnsi"/>
                <w:sz w:val="20"/>
              </w:rPr>
              <w:t>5</w:t>
            </w:r>
          </w:p>
          <w:p w14:paraId="68888B07" w14:textId="77777777"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 xml:space="preserve">Karta sieciowa LAN 10/100/1000 Ethernet RJ 45 zintegrowana z płytą główną. </w:t>
            </w:r>
          </w:p>
          <w:p w14:paraId="1B251878" w14:textId="77777777" w:rsidR="00472875" w:rsidRPr="00A41005" w:rsidRDefault="00472875" w:rsidP="00322A6B">
            <w:pPr>
              <w:pStyle w:val="Akapitzlist"/>
              <w:widowControl/>
              <w:numPr>
                <w:ilvl w:val="2"/>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Bluetooth co najmniej w standardzie v5.0,</w:t>
            </w:r>
          </w:p>
        </w:tc>
      </w:tr>
      <w:tr w:rsidR="00472875" w:rsidRPr="00A41005" w14:paraId="5EDD7BC8" w14:textId="77777777" w:rsidTr="00322A6B">
        <w:tblPrEx>
          <w:tblCellMar>
            <w:left w:w="70" w:type="dxa"/>
            <w:right w:w="70" w:type="dxa"/>
          </w:tblCellMar>
          <w:tblLook w:val="0000" w:firstRow="0" w:lastRow="0" w:firstColumn="0" w:lastColumn="0" w:noHBand="0" w:noVBand="0"/>
        </w:tblPrEx>
        <w:trPr>
          <w:trHeight w:val="330"/>
        </w:trPr>
        <w:tc>
          <w:tcPr>
            <w:tcW w:w="1843" w:type="dxa"/>
          </w:tcPr>
          <w:p w14:paraId="1DDBD127" w14:textId="77777777" w:rsidR="00472875" w:rsidRPr="00A41005" w:rsidRDefault="00472875"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Klawiatura i Mysz</w:t>
            </w:r>
          </w:p>
        </w:tc>
        <w:tc>
          <w:tcPr>
            <w:tcW w:w="7371" w:type="dxa"/>
          </w:tcPr>
          <w:p w14:paraId="14F38FB9" w14:textId="77777777" w:rsidR="00472875" w:rsidRPr="00A41005" w:rsidRDefault="00472875" w:rsidP="00322A6B">
            <w:pPr>
              <w:suppressAutoHyphens/>
              <w:rPr>
                <w:rFonts w:asciiTheme="minorHAnsi" w:hAnsiTheme="minorHAnsi" w:cstheme="minorHAnsi"/>
                <w:sz w:val="20"/>
                <w:szCs w:val="20"/>
              </w:rPr>
            </w:pPr>
            <w:r w:rsidRPr="00A41005">
              <w:rPr>
                <w:rFonts w:asciiTheme="minorHAnsi" w:hAnsiTheme="minorHAnsi" w:cstheme="minorHAnsi"/>
                <w:sz w:val="20"/>
                <w:szCs w:val="20"/>
              </w:rPr>
              <w:t>Klawiatura QWERTY podłączana poprzez port USB (kablowo lub bezprzewodowo). Mysz min. 2 przyciski podłączana poprzez port USB (kablowo lub bezprzewodowo)</w:t>
            </w:r>
          </w:p>
        </w:tc>
      </w:tr>
      <w:tr w:rsidR="00472875" w:rsidRPr="00A41005" w14:paraId="75BE1F44" w14:textId="77777777" w:rsidTr="00322A6B">
        <w:tc>
          <w:tcPr>
            <w:tcW w:w="1843" w:type="dxa"/>
          </w:tcPr>
          <w:p w14:paraId="4EC37B67"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Multimedia</w:t>
            </w:r>
          </w:p>
        </w:tc>
        <w:tc>
          <w:tcPr>
            <w:tcW w:w="7371" w:type="dxa"/>
          </w:tcPr>
          <w:p w14:paraId="3C6207EB"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Wyposażenie multimedialne: Karta dźwiękowa zintegrowana z płytą główną, zgodna z High Definition, wbudowane dwa głośniki;</w:t>
            </w:r>
          </w:p>
          <w:p w14:paraId="17D6929F"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Min. 1 cyfrowy mikrofon wbudowany w obudowie.</w:t>
            </w:r>
          </w:p>
          <w:p w14:paraId="1DC3A5D8" w14:textId="0142A70D"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Kamera internetowa co najmniej HD (co najmniej 720p, 30 klatek na sekundę) trwale zainstalowana w obudowie matrycy.</w:t>
            </w:r>
          </w:p>
        </w:tc>
      </w:tr>
      <w:tr w:rsidR="000147A0" w:rsidRPr="00A41005" w14:paraId="3954C6F9" w14:textId="77777777" w:rsidTr="00322A6B">
        <w:tc>
          <w:tcPr>
            <w:tcW w:w="1843" w:type="dxa"/>
          </w:tcPr>
          <w:p w14:paraId="19C25EB4" w14:textId="77777777" w:rsidR="000147A0" w:rsidRPr="00A41005" w:rsidRDefault="000147A0" w:rsidP="000147A0">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System operacyjny</w:t>
            </w:r>
          </w:p>
        </w:tc>
        <w:tc>
          <w:tcPr>
            <w:tcW w:w="7371" w:type="dxa"/>
          </w:tcPr>
          <w:p w14:paraId="4B2D023E" w14:textId="77777777" w:rsidR="000147A0" w:rsidRPr="00A41005" w:rsidRDefault="000147A0" w:rsidP="000147A0">
            <w:pPr>
              <w:pStyle w:val="Akapitzlist"/>
              <w:ind w:left="0"/>
              <w:contextualSpacing w:val="0"/>
              <w:jc w:val="both"/>
              <w:rPr>
                <w:rFonts w:asciiTheme="minorHAnsi" w:hAnsiTheme="minorHAnsi" w:cstheme="minorHAnsi"/>
                <w:sz w:val="20"/>
              </w:rPr>
            </w:pPr>
            <w:r w:rsidRPr="00A41005">
              <w:rPr>
                <w:rFonts w:asciiTheme="minorHAnsi" w:hAnsiTheme="minorHAnsi" w:cstheme="minorHAnsi"/>
                <w:bCs/>
                <w:sz w:val="20"/>
              </w:rPr>
              <w:t xml:space="preserve">Licencja na system operacyjny Microsoft </w:t>
            </w:r>
            <w:r w:rsidRPr="00A41005">
              <w:rPr>
                <w:rFonts w:asciiTheme="minorHAnsi" w:hAnsiTheme="minorHAnsi" w:cstheme="minorHAnsi"/>
                <w:sz w:val="20"/>
              </w:rPr>
              <w:t>Windows 10 Professional. lub Microsoft Windows 11 Professional</w:t>
            </w:r>
            <w:r w:rsidRPr="00A41005">
              <w:rPr>
                <w:rFonts w:asciiTheme="minorHAnsi" w:hAnsiTheme="minorHAnsi" w:cstheme="minorHAnsi"/>
                <w:bCs/>
                <w:sz w:val="20"/>
              </w:rPr>
              <w:t xml:space="preserve">, zainstalowany system operacyjny </w:t>
            </w:r>
            <w:r w:rsidRPr="00A41005">
              <w:rPr>
                <w:rFonts w:asciiTheme="minorHAnsi" w:hAnsiTheme="minorHAnsi" w:cstheme="minorHAnsi"/>
                <w:sz w:val="20"/>
              </w:rPr>
              <w:t xml:space="preserve">Windows </w:t>
            </w:r>
            <w:r w:rsidRPr="00A41005">
              <w:rPr>
                <w:rFonts w:asciiTheme="minorHAnsi" w:hAnsiTheme="minorHAnsi" w:cstheme="minorHAnsi"/>
                <w:bCs/>
                <w:sz w:val="20"/>
              </w:rPr>
              <w:t>niewymagający ręcznej aktywacji za pomocą telefonu lub Internetu w firmie Microsoft</w:t>
            </w:r>
            <w:r w:rsidRPr="00A41005">
              <w:rPr>
                <w:rFonts w:asciiTheme="minorHAnsi" w:hAnsiTheme="minorHAnsi" w:cstheme="minorHAnsi"/>
                <w:sz w:val="20"/>
              </w:rPr>
              <w:t xml:space="preserve"> w celu zapewnienia współpracy ze środowiskiem sieciowym oraz aplikacjami funkcjonującymi w administracji państwowej lub równoważny. Za rozwiązanie równoważne uznaje się takie, które posiada wbudowane mechanizmy, bez użycia dodatkowych aplikacji (bez jakichkolwiek emulatorów, implementacji lub programów towarzyszących), zapewniające: </w:t>
            </w:r>
          </w:p>
          <w:p w14:paraId="18BBDE4A"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Polską wersję językową, Możliwość instalacji i poprawnego działania oprogramowania dostępnego w ramach posiadanych przez Zamawiającego licencji Microsoft Office 2016, możliwość pełnej integracji z systemem domenowym MS Windows Server, </w:t>
            </w:r>
          </w:p>
          <w:p w14:paraId="7A4B8795"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Możliwość instalacji i poprawnego działania oprogramowania Visio, Project, ESET, QNT, Płatnik, Symfonia, eDOK aktualnie użytkowanych przez Zamawiającego .</w:t>
            </w:r>
          </w:p>
          <w:p w14:paraId="3E9D6301"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Poprawną obsługę drukarek, skanerów (Xerox, Minolta, Fujitsu, Avision), </w:t>
            </w:r>
          </w:p>
          <w:p w14:paraId="36EBEB37"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lastRenderedPageBreak/>
              <w:t>•</w:t>
            </w:r>
            <w:r w:rsidRPr="00A41005">
              <w:rPr>
                <w:rFonts w:asciiTheme="minorHAnsi" w:hAnsiTheme="minorHAnsi" w:cstheme="minorHAnsi"/>
                <w:sz w:val="20"/>
              </w:rPr>
              <w:tab/>
              <w:t xml:space="preserve">Dostępność aktualizacji i poprawek do systemu u producenta systemu bezpłatnie i bez dodatkowych opłat licencyjnych z możliwością wyboru instalowanych poprawek, </w:t>
            </w:r>
          </w:p>
          <w:p w14:paraId="13AB6C42"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zdalnej, automatycznej instalacji, konfiguracji, administrowania oraz aktualizowania systemu, </w:t>
            </w:r>
          </w:p>
          <w:p w14:paraId="3264DA32"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automatycznego zbudowania obrazu systemu wraz z aplikacjami. Obraz systemu służyć ma do automatycznego upowszechniania systemu operacyjnego inicjowanego i wykonywanego w całości przez sieć komputerową, </w:t>
            </w:r>
          </w:p>
          <w:p w14:paraId="62138F2C"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wdrożenia nowego obrazu przez zdalną instalację, </w:t>
            </w:r>
          </w:p>
          <w:p w14:paraId="2368711D"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Graficzne środowisko instalacji i konfiguracji, </w:t>
            </w:r>
          </w:p>
          <w:p w14:paraId="78C82F1D"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i przejmowania pulpitu zdalnego, </w:t>
            </w:r>
          </w:p>
          <w:p w14:paraId="32C4539D"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plików i drukarek, </w:t>
            </w:r>
          </w:p>
          <w:p w14:paraId="30C86D0D"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wsparcia dla urządzeń (urządzeń sieciowych Cisco, Netgear, Edimax, standardów USB, urządzeń Plug &amp; Play), </w:t>
            </w:r>
          </w:p>
          <w:p w14:paraId="140C5C59"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Wyposażenie systemu w graficzny interfejs użytkownika w języku polskim,</w:t>
            </w:r>
          </w:p>
          <w:p w14:paraId="393F86E4" w14:textId="77777777" w:rsidR="000147A0" w:rsidRPr="00A41005" w:rsidRDefault="000147A0" w:rsidP="000147A0">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pełnej kompatybilności z oferowanym sprzętem.  </w:t>
            </w:r>
          </w:p>
          <w:p w14:paraId="5526BA62" w14:textId="77777777" w:rsidR="000147A0" w:rsidRPr="00A41005" w:rsidRDefault="000147A0" w:rsidP="000147A0">
            <w:pPr>
              <w:pStyle w:val="Akapitzlist"/>
              <w:contextualSpacing w:val="0"/>
              <w:rPr>
                <w:rFonts w:asciiTheme="minorHAnsi" w:hAnsiTheme="minorHAnsi" w:cstheme="minorHAnsi"/>
                <w:sz w:val="20"/>
              </w:rPr>
            </w:pPr>
          </w:p>
          <w:p w14:paraId="49C92E79" w14:textId="77777777" w:rsidR="000147A0" w:rsidRPr="00A41005" w:rsidRDefault="000147A0" w:rsidP="000147A0">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Umieszczony na obudowie Certyfikat Autentyczności w postaci specjalnej naklejki zabezpieczającej lub załączone potwierdzenie producenta komputera o legalności dostarczonego oprogramowania systemowego.</w:t>
            </w:r>
          </w:p>
          <w:p w14:paraId="50B7E18D" w14:textId="4608AEE0" w:rsidR="000147A0" w:rsidRPr="00A41005" w:rsidRDefault="000147A0" w:rsidP="000147A0">
            <w:pPr>
              <w:pStyle w:val="Akapitzlist"/>
              <w:ind w:left="0"/>
              <w:rPr>
                <w:rFonts w:asciiTheme="minorHAnsi" w:hAnsiTheme="minorHAnsi" w:cstheme="minorHAnsi"/>
                <w:sz w:val="20"/>
              </w:rPr>
            </w:pPr>
            <w:r w:rsidRPr="00A41005">
              <w:rPr>
                <w:rFonts w:asciiTheme="minorHAnsi" w:hAnsiTheme="minorHAnsi" w:cstheme="minorHAnsi"/>
                <w:sz w:val="20"/>
              </w:rPr>
              <w:t>Nie dopuszcza się w tym zakresie licencji pochodzących z rynku wtórnego.</w:t>
            </w:r>
          </w:p>
        </w:tc>
      </w:tr>
      <w:tr w:rsidR="000147A0" w:rsidRPr="00A41005" w14:paraId="7A207AE7" w14:textId="77777777" w:rsidTr="00322A6B">
        <w:trPr>
          <w:trHeight w:val="1305"/>
        </w:trPr>
        <w:tc>
          <w:tcPr>
            <w:tcW w:w="1843" w:type="dxa"/>
          </w:tcPr>
          <w:p w14:paraId="5BB0FC41" w14:textId="77777777" w:rsidR="000147A0" w:rsidRPr="00A41005" w:rsidRDefault="000147A0" w:rsidP="000147A0">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lastRenderedPageBreak/>
              <w:t>Oprogramowanie biurowe</w:t>
            </w:r>
          </w:p>
        </w:tc>
        <w:tc>
          <w:tcPr>
            <w:tcW w:w="7371" w:type="dxa"/>
          </w:tcPr>
          <w:p w14:paraId="7A042547" w14:textId="77777777" w:rsidR="000147A0" w:rsidRPr="00A41005" w:rsidRDefault="000147A0" w:rsidP="000147A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Zainstalowane oprogramowanie Microsoft Office 2021 Home &amp; Business o architekturze 64bit w polskiej wersji językowej umożliwiającej pracę w domenie. Licencja i oprogramowanie musi być nowe, nieużywane, nigdy wcześniej nieaktywowane.</w:t>
            </w:r>
          </w:p>
          <w:p w14:paraId="0C171F44" w14:textId="77777777" w:rsidR="000147A0" w:rsidRPr="00A41005" w:rsidRDefault="000147A0" w:rsidP="000147A0">
            <w:pPr>
              <w:pStyle w:val="Akapitzlist"/>
              <w:ind w:left="0"/>
              <w:contextualSpacing w:val="0"/>
              <w:jc w:val="both"/>
              <w:rPr>
                <w:rFonts w:asciiTheme="minorHAnsi" w:hAnsiTheme="minorHAnsi" w:cstheme="minorHAnsi"/>
                <w:bCs/>
                <w:sz w:val="20"/>
              </w:rPr>
            </w:pPr>
          </w:p>
          <w:p w14:paraId="6E171A97" w14:textId="77777777" w:rsidR="000147A0" w:rsidRPr="00A41005" w:rsidRDefault="000147A0" w:rsidP="000147A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Zamawiający dopuszcza dostarczenie produktu równoważnego. Za produkt równoważny Zamawiający uzna produkt o cechach (parametrach) nie gorszych niż produkt Microsoft lub lepszych niż produkt określony w OPZ, przy czym:</w:t>
            </w:r>
          </w:p>
          <w:p w14:paraId="0763F71D" w14:textId="77777777" w:rsidR="000147A0" w:rsidRPr="00A41005" w:rsidRDefault="000147A0" w:rsidP="000147A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Wykonawca w formularzu ofertowym winien wskazać jaki rodzaj produktów oferuje, tj. produkty Microsoft bądź produkty równoważne. W przypadku, gdy wykonawca oferuje produkty równoważne Zamawiający wymaga, aby wraz z ofertą wykonawca dołączył dokumenty potwierdzające, że oferowane przez niego produkty spełniają wymagania w zakresie równoważności, zgodnie z OPZ,</w:t>
            </w:r>
          </w:p>
          <w:p w14:paraId="210BC883" w14:textId="77777777" w:rsidR="000147A0" w:rsidRPr="00A41005" w:rsidRDefault="000147A0" w:rsidP="000147A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Zamawiający zastrzega sobie w przypadku jakichkolwiek wątpliwości, prawo sprawdzenia pełnej zgodności warunków i zakresu równoważności oferowanych produktów równoważnych. W takim wypadku Zamawiający wezwie wykonawców do przedstawienia dodatkowych dokumentów dotyczących danego produktu w celu potwierdzenia spełnienia wymagań w zakresie równoważności oraz próbek oferowanych produktów, dla celów wykonania testów w środowiskach Zamawiającego. Sprawdzenie to będzie polegać na przeprowadzeniu testów w warunkach odzwierciedlających środowiska produkcyjne na sprzęcie Zamawiającego, z użyciem urządzeń peryferyjnych Zamawiającego, na plikach, arkuszach, bazach danych i dokumentach Zamawiającego. Testowane będą opisane w wymaganiach OPZ funkcje produktów, wobec których to funkcji Zamawiający powziął wątpliwość co do ich zgodności z wymaganiami OPZ. W tym celu wykonawca na każde wezwanie Zamawiającego, dostarczy do siedziby Zamawiającego w terminie 3 dni roboczych od daty otrzymania wezwania, po jednym egzemplarzu wskazanego produktu, wobec którego Zamawiający powziął wątpliwość co do jego zgodności z wymaganiami OPZ. W odniesieniu do tych produktów mogą </w:t>
            </w:r>
            <w:r w:rsidRPr="00A41005">
              <w:rPr>
                <w:rFonts w:asciiTheme="minorHAnsi" w:hAnsiTheme="minorHAnsi" w:cstheme="minorHAnsi"/>
                <w:bCs/>
                <w:sz w:val="20"/>
              </w:rPr>
              <w:lastRenderedPageBreak/>
              <w:t>zostać dostarczone licencje tymczasowe, w pełni zgodne z oferowanymi. Jednocześnie Zamawiający zastrzega sobie możliwość odwołania się do oficjalnych, publicznie dostępnych stron internetowych producenta weryfikowanego przedmiotu oferty. Nieprzedłożenie oferowanych produktów równoważnych do przetestowania w ww. terminie, zostanie potraktowane jako negatywny wynik sprawdzenia. Po wykonaniu testów, dostarczone do testów egzemplarze produktów będą zwrócone wykonawcy na jego pisemny wniosek,</w:t>
            </w:r>
          </w:p>
          <w:p w14:paraId="5C180D2C" w14:textId="77777777" w:rsidR="000147A0" w:rsidRPr="00A41005" w:rsidRDefault="000147A0" w:rsidP="000147A0">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Negatywny wynik sprawdzenia oferty w zakresie równoważności oferowanych produktów, skutkować będzie odrzuceniem tej oferty;</w:t>
            </w:r>
          </w:p>
          <w:p w14:paraId="21BE4B0B" w14:textId="77777777" w:rsidR="000147A0" w:rsidRPr="00A41005" w:rsidRDefault="000147A0" w:rsidP="000147A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W przypadku zaoferowania przez wykonawcę produktów równoważnych, Zamawiający wymaga, aby oferowane produkty spełniały dodatkowo niżej wymienione wymagania:</w:t>
            </w:r>
          </w:p>
          <w:p w14:paraId="1C51BAB7"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równoważny produkt musi bez zakłóceń współpracować z posiadaną przez Zamawiającego infrastrukturą sprzętową oraz wykorzystywanym oprogramowaniem i systemami, do których należą: serwery, laptopy, komputery stacjonarne, urządzenia drukujące, urządzenia sieciowe, systemy Windows, oprogramowanie Microsoft (Viso, Project, Exchange 2016), środowisko wirtualizacyjne VmWare w wersji 6.x. Na wykonawcy oferującym produkty równoważne spoczywa odpowiedzialność w zakresie prawidłowego działania zaoferowanych produktów w środowisku pracy użytkowników produktów po stronie Zamawiającego,</w:t>
            </w:r>
          </w:p>
          <w:p w14:paraId="0674D088"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warunki i zakres usługi wsparcia producenta dla produktów równoważnych nie gorsze, niż usługa określona dla odpowiedniego produktu producenta Microsoft,</w:t>
            </w:r>
          </w:p>
          <w:p w14:paraId="4A70A0E9"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warunki licencji w każdym aspekcie licencjonowania nie mogą być gorsze, niż dla licencji producenta Microsoft,</w:t>
            </w:r>
          </w:p>
          <w:p w14:paraId="5DD9EAA0"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wykazać, że funkcjonalność każdego produktu równoważnego nie jest gorsza od funkcjonalności odpowiedniego produktu producenta Microsoft,</w:t>
            </w:r>
          </w:p>
          <w:p w14:paraId="0C0AF01E"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że produkty równoważne są kompatybilne i będą w sposób niezakłócony współdziałać ze sprzętem i oprogramowaniem systemowym Zamawiającego (komputery i laptopy pracujące na systemie Windows 10 Professional, urządzenia mobilne pracujące na Android 10 oraz iOS 14), oraz aplikacyjnym (Microsoft Exchange 2016, Microsoft Office 2016) i użytkowym, eksploatowanym i obsługiwanym przez Zamawiającego,</w:t>
            </w:r>
          </w:p>
          <w:p w14:paraId="1AAA6945"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że warunki i zakres usługi asysty wsparcia technicznego dla produktów równoważnych nie są gorsze, niż usługi oferowane przez producenta Microsoft,</w:t>
            </w:r>
          </w:p>
          <w:p w14:paraId="169542A7"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pokryć koszty zmiany w zakresie produktów i rozwiązań Microsoft na produkty i rozwiązania równoważne, konieczne do właściwego działania środowiska sprzętowo-programowego Zamawiającego, o ile wystąpi taka konieczność,</w:t>
            </w:r>
          </w:p>
          <w:p w14:paraId="772AB830"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przywrócić sprawne działanie infrastruktury sprzętowo-programowej Zamawiającego oraz na własny koszt dokonać niezbędnych modyfikacji przywracających właściwe działanie tego środowiska sprzętowo-programowego, również po odinstalowaniu produktu równoważnego w przypadku, gdy zaoferowane produkty równoważne nie będą właściwie współdziałać ze sprzętem i oprogramowaniem funkcjonującym u Zamawiającego,</w:t>
            </w:r>
          </w:p>
          <w:p w14:paraId="3CE8FA21" w14:textId="77777777" w:rsidR="000147A0" w:rsidRPr="00A41005" w:rsidRDefault="000147A0" w:rsidP="000147A0">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Zamawiający ze względu na koszty ewentualnej zmiany w zakresie rozwiązań producenta Microsoft na produkty równoważne, wymaga, aby produkty równoważne pochodziły od jednego producenta i umożliwiały wykorzystanie wspólnych i jednolitych procedur masowej instalacji, uaktualniania, zarządzania i monitorowania;</w:t>
            </w:r>
          </w:p>
          <w:p w14:paraId="50D0A505" w14:textId="77777777" w:rsidR="000147A0" w:rsidRPr="00A41005" w:rsidRDefault="000147A0" w:rsidP="000147A0">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lastRenderedPageBreak/>
              <w:t>Zarządzanie produktami musi odbywać się za pośrednictwem platformy dostępnej z przeglądarki internetowej pozwalającej na:</w:t>
            </w:r>
          </w:p>
          <w:p w14:paraId="6F579345"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0DB9B1D6"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na żądanie wyników aktualnych audytów, w tym audytów bezpieczeństwa,</w:t>
            </w:r>
          </w:p>
          <w:p w14:paraId="27E80448"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automatycznej, niewpływającej na ciągłość pracy systemu instalacji poprawek dla licencji subskrypcyjnych,</w:t>
            </w:r>
          </w:p>
          <w:p w14:paraId="0AF91813"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111D432F"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niezaprzeczalnego uwierzytelnienia na bazie usługi katalogowej będącej składową hostowanej usługi platformowej,</w:t>
            </w:r>
          </w:p>
          <w:p w14:paraId="2AA710FB"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66433BC8"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3C595640"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4A4EB2FC"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4835504D"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zastrzeżenia miejsca przetwarzania/składowania danych w usłudze do terytorium krajów Europejskiego Obszaru Gospodarczego,</w:t>
            </w:r>
          </w:p>
          <w:p w14:paraId="4056833F"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Zobowiązanie umowne o pozostawieniu całkowitej własności przetwarzanych/składowanych w usłudze danych po stronie Zamawiającego,</w:t>
            </w:r>
          </w:p>
          <w:p w14:paraId="51F5E998"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usunięcia danych Zamawiającego z platformy po zakończeniu umowy,</w:t>
            </w:r>
          </w:p>
          <w:p w14:paraId="620F40A9" w14:textId="77777777" w:rsidR="000147A0" w:rsidRPr="00A41005" w:rsidRDefault="000147A0" w:rsidP="000147A0">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braku dostępu do danych Zamawiającego na platformie, z wyłączeniem działań serwisowych wymagających każdorazowo zgody Zamawiającego i wykonywanych wyłącznie przez uprawnione osoby z organizacji wykonawcy platformy;</w:t>
            </w:r>
          </w:p>
          <w:p w14:paraId="7E30886E" w14:textId="77777777" w:rsidR="000147A0" w:rsidRPr="00A41005" w:rsidRDefault="000147A0" w:rsidP="000147A0">
            <w:pPr>
              <w:pStyle w:val="Akapitzlist"/>
              <w:numPr>
                <w:ilvl w:val="0"/>
                <w:numId w:val="33"/>
              </w:numPr>
              <w:contextualSpacing w:val="0"/>
              <w:jc w:val="both"/>
              <w:rPr>
                <w:rFonts w:asciiTheme="minorHAnsi" w:hAnsiTheme="minorHAnsi" w:cstheme="minorHAnsi"/>
                <w:bCs/>
                <w:sz w:val="20"/>
              </w:rPr>
            </w:pPr>
            <w:r w:rsidRPr="00A41005">
              <w:rPr>
                <w:rFonts w:asciiTheme="minorHAnsi" w:hAnsiTheme="minorHAnsi" w:cstheme="minorHAnsi"/>
                <w:bCs/>
                <w:sz w:val="20"/>
              </w:rPr>
              <w:t>Subskrypcja pakietu standardowych usług hostowanych (on-line) typu COTS (Commercial Of-The- Shelf) ma uprawniać użytkowników posiadających subskrypcję do wykorzystania usług on-line - usługi zarządzania tożsamością użytkowników, portalu wewnętrznego, poczty elektronicznej, narzędzi wiadomości błyskawicznych, konferencji głosowych i video, repozytorium dokumentów, wewnętrznego serwisu społecznościowego oraz edycji dokumentów biurowych on-line (dalej Usługi).</w:t>
            </w:r>
          </w:p>
          <w:p w14:paraId="26EED986" w14:textId="77777777" w:rsidR="000147A0" w:rsidRPr="00A41005" w:rsidRDefault="000147A0" w:rsidP="000147A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Wymagania dotyczące usługi hostowanej:</w:t>
            </w:r>
          </w:p>
          <w:p w14:paraId="341BC35F"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Wszystkie elementy Usługi muszą pozwalać na dostęp użytkowników na zasadzie uwierzytelnienia wykorzystującego mechanizm logowania pozwalający na autoryzację użytkowników w usłudze poprzez wbudowaną usługę zarządzania tożsamością użytkowników,</w:t>
            </w:r>
          </w:p>
          <w:p w14:paraId="2822D740"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Wbudowana Usługa zarządzania tożsamością użytkowników musi umożliwiać realizację pojedynczego logowania (single sign-on) dla użytkowników logujących się do własnej usługi katalogowej Active Directory,</w:t>
            </w:r>
          </w:p>
          <w:p w14:paraId="5BA86D84"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portalu administracyjnego do zarządzania Usługą oraz zasadami grup.</w:t>
            </w:r>
          </w:p>
          <w:p w14:paraId="677E54CA"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mechanizmy ochrony informacji z mechanizmami śledzenia wycieków informacji z poczty elektronicznej i przechowywanych plików,</w:t>
            </w:r>
          </w:p>
          <w:p w14:paraId="7487C28A"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Ochrona danych w systemie poczty elektronicznej przed złośliwym oprogramowaniem i wirusami oraz atakami typu zero-day,</w:t>
            </w:r>
          </w:p>
          <w:p w14:paraId="173F1D53"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lastRenderedPageBreak/>
              <w:t>Gwarantowana dostępność usług platformy na poziomie 99,9%,</w:t>
            </w:r>
          </w:p>
          <w:p w14:paraId="6B54AFEC"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Zastosowanie w platformie powszechnie uznanych i rozpowszechnionych standardów przemysłowych, pozwalających na potencjalne wykorzystanie różnych technologii i rozwiązań w ramach jednej platformy, w szczególności:</w:t>
            </w:r>
          </w:p>
          <w:p w14:paraId="2AEDE879" w14:textId="77777777" w:rsidR="000147A0" w:rsidRPr="00A41005" w:rsidRDefault="000147A0" w:rsidP="000147A0">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ISO 27001, ISO 27017, ISO 27018 lub równoważnych,</w:t>
            </w:r>
          </w:p>
          <w:p w14:paraId="03FC27A1" w14:textId="77777777" w:rsidR="000147A0" w:rsidRPr="00A41005" w:rsidRDefault="000147A0" w:rsidP="000147A0">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SOC 2 lub 3 lub równoważnego,</w:t>
            </w:r>
          </w:p>
          <w:p w14:paraId="7B88EB68" w14:textId="77777777" w:rsidR="000147A0" w:rsidRPr="00A41005" w:rsidRDefault="000147A0" w:rsidP="000147A0">
            <w:pPr>
              <w:pStyle w:val="Akapitzlist"/>
              <w:numPr>
                <w:ilvl w:val="1"/>
                <w:numId w:val="34"/>
              </w:numPr>
              <w:contextualSpacing w:val="0"/>
              <w:jc w:val="both"/>
              <w:rPr>
                <w:rFonts w:asciiTheme="minorHAnsi" w:hAnsiTheme="minorHAnsi" w:cstheme="minorHAnsi"/>
                <w:bCs/>
                <w:sz w:val="20"/>
                <w:lang w:val="en-GB"/>
              </w:rPr>
            </w:pPr>
            <w:r w:rsidRPr="00A41005">
              <w:rPr>
                <w:rFonts w:asciiTheme="minorHAnsi" w:hAnsiTheme="minorHAnsi" w:cstheme="minorHAnsi"/>
                <w:bCs/>
                <w:sz w:val="20"/>
                <w:lang w:val="en-GB"/>
              </w:rPr>
              <w:t>Open Authentication Standard – Oauth lub równoważnego,</w:t>
            </w:r>
          </w:p>
          <w:p w14:paraId="4EBBDD28"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1820226C"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na żądanie wyników aktualnych audytów, w tym audytów bezpieczeństwa, dla usług i centrów przetwarzania danych oferujących te usługi i audytów związanych z ochroną danych osobowych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w:t>
            </w:r>
          </w:p>
          <w:p w14:paraId="23D54960"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486CADEF"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0C597D4C"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60288D6C"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raportów odnośnie logów z urządzeń potencjalnie zainfekowanych, z sieci botnetowych,</w:t>
            </w:r>
          </w:p>
          <w:p w14:paraId="0EC646A6"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6790FCAF"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403AB01F"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ma zostać wyłączone a dane Zamawiającego usunięte,</w:t>
            </w:r>
          </w:p>
          <w:p w14:paraId="26837A58"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 do Usługi musi być możliwy z dowolnego urządzenia klasy PC, tabletu lub telefonu wyposażonego w system operacyjny Linux, Windows lub Apple OS,</w:t>
            </w:r>
          </w:p>
          <w:p w14:paraId="1CF936B9"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Subskrypcja Usługi musi umożliwiać zmianę jej przypisania do innego użytkownika będącego pracownikiem Zamawiającego,</w:t>
            </w:r>
          </w:p>
          <w:p w14:paraId="1FB505E4"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Centra przetwarzania świadczące Usługę muszą znajdować się na terenie Europejskiego Obszaru Gospodarczego,</w:t>
            </w:r>
          </w:p>
          <w:p w14:paraId="7EAFB585"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musi zapewniać szyfrowanie danych przesyłanych za pomocą sieci publicznych,</w:t>
            </w:r>
          </w:p>
          <w:p w14:paraId="35D3AA46"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ma zapewniać usunięcie danych Zamawiającego po zakończeniu okresu jej subskrypcji,</w:t>
            </w:r>
          </w:p>
          <w:p w14:paraId="14381C1E"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Zobowiązania umowne potwierdzające zgodność z RODO i podmiotu przetwarzającego w rozumieniu RODO,</w:t>
            </w:r>
          </w:p>
          <w:p w14:paraId="479B78D3"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Zobowiązanie umowne o pozostawieniu całkowitej własności </w:t>
            </w:r>
            <w:r w:rsidRPr="00A41005">
              <w:rPr>
                <w:rFonts w:asciiTheme="minorHAnsi" w:hAnsiTheme="minorHAnsi" w:cstheme="minorHAnsi"/>
                <w:bCs/>
                <w:sz w:val="20"/>
              </w:rPr>
              <w:lastRenderedPageBreak/>
              <w:t>przetwarzanych/składowanych w usłudze danych po stronie Zamawiającego,</w:t>
            </w:r>
          </w:p>
          <w:p w14:paraId="32770CE5"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Mechanizmy pozwalające na realizację wymagań rozliczalności i monitorowania użytkowników i usług,</w:t>
            </w:r>
          </w:p>
          <w:p w14:paraId="1C3689A8" w14:textId="77777777" w:rsidR="000147A0" w:rsidRPr="00A41005" w:rsidRDefault="000147A0" w:rsidP="000147A0">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Gwarancja braku dostępu do danych Zamawiającego na platformie, z wyłączeniem działań serwisowych wymagających każdorazowo zgody Zamawiającego i wykonywanych wyłącznie przez uprawnione osoby z organizacji dostawcy platformy;</w:t>
            </w:r>
          </w:p>
          <w:p w14:paraId="734BAB0D" w14:textId="77777777" w:rsidR="000147A0" w:rsidRPr="00A41005" w:rsidRDefault="000147A0" w:rsidP="000147A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spełniać następujące wymagania:</w:t>
            </w:r>
          </w:p>
          <w:p w14:paraId="38EDF45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Usługa musi umożliwiać:</w:t>
            </w:r>
          </w:p>
          <w:p w14:paraId="1BC315D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obsługę poczty elektronicznej,</w:t>
            </w:r>
          </w:p>
          <w:p w14:paraId="262A362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czasem,</w:t>
            </w:r>
          </w:p>
          <w:p w14:paraId="3C6BFD23"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zasobami,</w:t>
            </w:r>
          </w:p>
          <w:p w14:paraId="15DAFD7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kontaktami i komunikacją,</w:t>
            </w:r>
          </w:p>
          <w:p w14:paraId="0D395D6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Usługa musi dostarczać kompleksową funkcjonalność zdefiniowaną w opisie oraz narzędzia administracyjne:</w:t>
            </w:r>
          </w:p>
          <w:p w14:paraId="6CBFDB6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Zarządzania użytkownikami poczty,</w:t>
            </w:r>
          </w:p>
          <w:p w14:paraId="174FF83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migracji z innych systemów poczty,</w:t>
            </w:r>
          </w:p>
          <w:p w14:paraId="71F2706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zakładania kont użytkowników na podstawie profili własnych usług katalogowych,</w:t>
            </w:r>
          </w:p>
          <w:p w14:paraId="7CCF2D7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integracji własnej usługi katalogowej (Active Directory) z usługą hostowana poczty,</w:t>
            </w:r>
          </w:p>
          <w:p w14:paraId="3310B08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Dostęp do usługi hostowanej systemu pocztowego musi być możliwy przy pomocy:</w:t>
            </w:r>
          </w:p>
          <w:p w14:paraId="2250499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Posiadanego oprogramowania Outlook 2016,</w:t>
            </w:r>
          </w:p>
          <w:p w14:paraId="7D22E71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Przeglądarki (Web Access),</w:t>
            </w:r>
          </w:p>
          <w:p w14:paraId="3F0825A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Urządzeń mobilnych,</w:t>
            </w:r>
          </w:p>
          <w:p w14:paraId="3699A92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Wymagane cechy usługi to:</w:t>
            </w:r>
          </w:p>
          <w:p w14:paraId="3FFBE29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Skrzynki pocztowe dla każdego użytkownika o pojemności minimum 30 GB,</w:t>
            </w:r>
          </w:p>
          <w:p w14:paraId="3D307A0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Standardowy i łatwy sposób obsługi poczty elektronicznej,</w:t>
            </w:r>
          </w:p>
          <w:p w14:paraId="07C5F06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najnowszych funkcji Outlook 2016, w tym tryb konwersacji, czy znajdowanie wolnych zasobów w kalendarzach, porównywanie i nakładanie kalendarzy, zaawansowane wyszukiwanie i filtrowanie wiadomości, wsparcie dla Internet Explorer, Firefox i Safari,</w:t>
            </w:r>
          </w:p>
          <w:p w14:paraId="4FA3758E"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4CE1AAE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Bezpieczny dostęp z każdego miejsca, w którym jest dostępny Internet.</w:t>
            </w:r>
          </w:p>
          <w:p w14:paraId="0865D2A9" w14:textId="77777777" w:rsidR="000147A0" w:rsidRPr="00A41005" w:rsidRDefault="000147A0" w:rsidP="000147A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się opierać o serwery poczty elektronicznej charakteryzujące się następującymi cechami, bez konieczności użycia rozwiązań firm trzecich:</w:t>
            </w:r>
          </w:p>
          <w:p w14:paraId="454F4B1A"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Funkcjonalność podstawowa:</w:t>
            </w:r>
          </w:p>
          <w:p w14:paraId="0E00F6A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Odbieranie i wysyłanie poczty elektronicznej do adresatów wewnętrznych oraz zewnętrznych,</w:t>
            </w:r>
          </w:p>
          <w:p w14:paraId="5602D56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Mechanizmy powiadomień o dostarczeniu i przeczytaniu wiadomości przez adresata,</w:t>
            </w:r>
          </w:p>
          <w:p w14:paraId="45C0E85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osobistymi kalendarzami, listami kontaktów, zadaniami, notatkami,</w:t>
            </w:r>
          </w:p>
          <w:p w14:paraId="149E465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16FD77A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lastRenderedPageBreak/>
              <w:t>•</w:t>
            </w:r>
            <w:r w:rsidRPr="00A41005">
              <w:rPr>
                <w:rFonts w:asciiTheme="minorHAnsi" w:hAnsiTheme="minorHAnsi" w:cstheme="minorHAnsi"/>
                <w:bCs/>
                <w:sz w:val="20"/>
              </w:rPr>
              <w:tab/>
              <w:t>Wsparcie dla zastosowania podpisu cyfrowego i szyfrowania wiadomości,</w:t>
            </w:r>
          </w:p>
          <w:p w14:paraId="14E4522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Funkcjonalność wspierająca pracę grupową:</w:t>
            </w:r>
          </w:p>
          <w:p w14:paraId="162F9D9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przypisania różnych akcji dla adresata wysyłanej wiadomości, np. do wykonania czy do przeczytania w określonym terminie,</w:t>
            </w:r>
          </w:p>
          <w:p w14:paraId="3BBEAA3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określenia terminu wygaśnięcia wiadomości,</w:t>
            </w:r>
          </w:p>
          <w:p w14:paraId="1C95B8F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Udostępnianie kalendarzy osobistych do wglądu i edycji innym użytkownikom, z możliwością definiowania poziomów dostępu,</w:t>
            </w:r>
          </w:p>
          <w:p w14:paraId="36E55DD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Podgląd stanu dostępności innych użytkowników w oparciu o ich kalendarze,</w:t>
            </w:r>
          </w:p>
          <w:p w14:paraId="184D6B2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6D14888A"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prostego delegowania zadań do innych pracowników, wraz ze śledzeniem statusu ich wykonania,</w:t>
            </w:r>
          </w:p>
          <w:p w14:paraId="47C6FA03"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współdzielonymi repozytoriami kontaktów, kalendarzy, zadań,</w:t>
            </w:r>
          </w:p>
          <w:p w14:paraId="377223E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list i grup dystrybucyjnych,</w:t>
            </w:r>
          </w:p>
          <w:p w14:paraId="30D7199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ze skrzynki do poczty elektronicznej, poczty głosowej, wiadomości błyskawicznych,</w:t>
            </w:r>
          </w:p>
          <w:p w14:paraId="46FDD88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informowania zewnętrznych partnerów biznesowych o dostępności lub niedostępności, co umożliwia szybkie i wygodne ustalanie harmonogramu,</w:t>
            </w:r>
          </w:p>
          <w:p w14:paraId="136873A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wyboru poziomu szczegółowości udostępnianych informacji o dostępności,</w:t>
            </w:r>
          </w:p>
          <w:p w14:paraId="2928D75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Widok rozmowy, który ułatwia nawigację w skrzynce odbiorczej, automatycznie organizując wątki wiadomości w oparciu o przebieg rozmowy między stronami,</w:t>
            </w:r>
          </w:p>
          <w:p w14:paraId="1EDA9F2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4418F7A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Transkrypcja tekstowa wiadomości głosowej, pozwalająca użytkownikom na szybkie priorytetyzowanie wiadomości bez potrzeby odsłuchiwania pliku dźwiękowego,</w:t>
            </w:r>
          </w:p>
          <w:p w14:paraId="0CE2BDD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do całej skrzynki odbiorczej - w tym poczty elektronicznej, kalendarza i listy kontaktów - z poziomu urządzeń mobilnych,</w:t>
            </w:r>
          </w:p>
          <w:p w14:paraId="719A46C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Udostępnienie użytkownikom możliwości aktualizacji danych kontaktowych i śledzenia odbierania wiadomości e-mail.</w:t>
            </w:r>
          </w:p>
          <w:p w14:paraId="4699764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Funkcjonalność wspierająca zarządzanie informacją w systemie pocztowym:</w:t>
            </w:r>
          </w:p>
          <w:p w14:paraId="085AD6D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Centralne zarządzanie cyklem życia informacji przechowywanych w systemie pocztowym, w tym śledzenie i rejestrowanie ich przepływu, wygaszanie po zdefiniowanym okresie czasu, archiwizacja,</w:t>
            </w:r>
          </w:p>
          <w:p w14:paraId="1FF18CB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Definiowanie kwot na rozmiar skrzynek pocztowych użytkowników, z możliwością ustawiania progu ostrzegawczego poniżej górnego limitu,</w:t>
            </w:r>
          </w:p>
          <w:p w14:paraId="10AF22D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definiowania różnych limitów dla różnych grup użytkowników,</w:t>
            </w:r>
          </w:p>
          <w:p w14:paraId="29D76E7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Możliwość wprowadzenia modelu kontroli dostępu, który umożliwia nadanie specjalistom uprawnień do wykonywania określonych zadań - na przykład pracownikom odpowiedzialnym za zgodność z uregulowaniami </w:t>
            </w:r>
            <w:r w:rsidRPr="00A41005">
              <w:rPr>
                <w:rFonts w:asciiTheme="minorHAnsi" w:hAnsiTheme="minorHAnsi" w:cstheme="minorHAnsi"/>
                <w:bCs/>
                <w:sz w:val="20"/>
              </w:rPr>
              <w:lastRenderedPageBreak/>
              <w:t>uprawnień do przeszukiwania wielu skrzynek pocztowych - bez przyznawania pełnych uprawnień administracyjnych,</w:t>
            </w:r>
          </w:p>
          <w:p w14:paraId="48B58A1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przeniesienia lokalnych archiwów skrzynki pocztowej z komputera na serwer, co pozwala na wydajne zarządzanie i ujawnianie prawne,</w:t>
            </w:r>
          </w:p>
          <w:p w14:paraId="777FA3C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łatwiejszej klasyfikacji wiadomości e-mail dzięki definiowanym centralnie zasadom zachowywania, które można zastosować do poszczególnych wiadomości lub folderów,</w:t>
            </w:r>
          </w:p>
          <w:p w14:paraId="76BA895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w:t>
            </w:r>
          </w:p>
          <w:p w14:paraId="6D34BC0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łatwego w użyciu interfejsu internetowego w celu wykonywania często spotykanych zadań związanych z pomocą techniczną.</w:t>
            </w:r>
          </w:p>
          <w:p w14:paraId="1B1E538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Wsparcie dla użytkowników mobilnych:</w:t>
            </w:r>
          </w:p>
          <w:p w14:paraId="7576322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pracy off-line przy słabej łączności z serwerem lub jej całkowitym braku, z pełnym dostępem do danych przechowywanych w skrzynce pocztowej oraz z zachowaniem podstawowej funkcjonalności systemu opisanej w ust. 3 pkt 6) lit. a),</w:t>
            </w:r>
          </w:p>
          <w:p w14:paraId="5270295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przełączanie się aplikacji klienckiej pomiędzy trybem on- line i off-line w zależności od stanu połączenia z serwerem,</w:t>
            </w:r>
          </w:p>
          <w:p w14:paraId="33EFAB0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„lekkiej” synchronizacji aplikacji klienckiej z serwerem w przypadku słabego łącza (tylko nagłówki wiadomości, tylko wiadomości poniżej określonego rozmiaru itp.),</w:t>
            </w:r>
          </w:p>
          <w:p w14:paraId="0C81080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usług systemu pocztowego w podstawowym zakresie przy pomocy urządzeń mobilnych typu PDA, SmartPhone,</w:t>
            </w:r>
          </w:p>
          <w:p w14:paraId="4D1CEDB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69D99AF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Umożliwienie - w przypadku korzystania z systemu pocztowego przez interfejs przeglądarkowy - podglądu typowych załączników (dokumenty PDF, MS Office) w postaci stron HTML, bez potrzeby posiadania na stacji użytkownika odpowiedniej aplikacji klienckiej,</w:t>
            </w:r>
          </w:p>
          <w:p w14:paraId="5C1BDD9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interfejsu dostępu do poczty w takich przeglądarkach, jak Internet Explorer, Apple Safari i Mozilla Firefox;</w:t>
            </w:r>
          </w:p>
          <w:p w14:paraId="3411939F" w14:textId="77777777" w:rsidR="000147A0" w:rsidRPr="00A41005" w:rsidRDefault="000147A0" w:rsidP="000147A0">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Pakiet biurowy instalowany na komputerach wyposażonych w system Windows musi spełniać następujące wymagania:</w:t>
            </w:r>
          </w:p>
          <w:p w14:paraId="21590E7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Wymagania odnośnie interfejsu użytkownika:</w:t>
            </w:r>
          </w:p>
          <w:p w14:paraId="708C743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polska wersja językowa interfejsu użytkownika.</w:t>
            </w:r>
          </w:p>
          <w:p w14:paraId="575380C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Oprogramowanie musi umożliwiać tworzenie i edycję dokumentów elektronicznych w ustalonym formacie, który spełnia następujące warunki:</w:t>
            </w:r>
          </w:p>
          <w:p w14:paraId="397F420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 kompletny i publicznie dostępny opis formatu,</w:t>
            </w:r>
          </w:p>
          <w:p w14:paraId="6215FA0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ma zdefiniowany układ informacji w postaci XML zgodnie z Tabelą B1 załącznika 2 Rozporządzenia Rady Ministrów z dnia 12 kwietnia 2012 r. w sprawie Krajowych Ram Interoperacyjności, minimalnych wymagań dla rejestrów publicznych i wymiany informacji w postaci elektronicznej oraz minimalnych wymagań dla systemów teleinformatycznych (Dz.U.z 2017 r. poz. 2247),</w:t>
            </w:r>
          </w:p>
          <w:p w14:paraId="00261B2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Pakiet biurowy musi zawierać:</w:t>
            </w:r>
          </w:p>
          <w:p w14:paraId="50EBEED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Edytor tekstów,</w:t>
            </w:r>
          </w:p>
          <w:p w14:paraId="0635D7B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Arkusz kalkulacyjny,</w:t>
            </w:r>
          </w:p>
          <w:p w14:paraId="5AA15F2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Narzędzie do przygotowywania i prowadzenia prezentacji,</w:t>
            </w:r>
          </w:p>
          <w:p w14:paraId="7BCBFC3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Narzędzie do tworzenia notatek przy pomocy klawiatury lub notatek </w:t>
            </w:r>
            <w:r w:rsidRPr="00A41005">
              <w:rPr>
                <w:rFonts w:asciiTheme="minorHAnsi" w:hAnsiTheme="minorHAnsi" w:cstheme="minorHAnsi"/>
                <w:bCs/>
                <w:sz w:val="20"/>
              </w:rPr>
              <w:lastRenderedPageBreak/>
              <w:t>odręcznych,</w:t>
            </w:r>
          </w:p>
          <w:p w14:paraId="5B97816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Edytor tekstów musi umożliwiać:</w:t>
            </w:r>
          </w:p>
          <w:p w14:paraId="5E4D1C5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Edycję i formatowanie tekstu w języku polskim wraz z obsługą języka polskiego w zakresie sprawdzania pisowni i poprawności gramatycznej oraz funkcjonalnością słownika wyrazów bliskoznacznych i autokorekty,</w:t>
            </w:r>
          </w:p>
          <w:p w14:paraId="4F445AF1"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oraz formatowanie tabel,</w:t>
            </w:r>
          </w:p>
          <w:p w14:paraId="0C61B1A3"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oraz formatowanie obiektów graficznych,</w:t>
            </w:r>
          </w:p>
          <w:p w14:paraId="1AE864C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wykresów i tabel z arkusza kalkulacyjnego,</w:t>
            </w:r>
          </w:p>
          <w:p w14:paraId="606EE05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numerowanie rozdziałów, punktów, akapitów, tabel i rysunków,</w:t>
            </w:r>
          </w:p>
          <w:p w14:paraId="18A220D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tworzenie spisów treści,</w:t>
            </w:r>
          </w:p>
          <w:p w14:paraId="1ED35FEE"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nagłówków i stopek stron,</w:t>
            </w:r>
          </w:p>
          <w:p w14:paraId="2E13F64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Sprawdzanie pisowni w języku polskim,</w:t>
            </w:r>
          </w:p>
          <w:p w14:paraId="4EDC640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Śledzenie zmian wprowadzonych przez użytkowników,</w:t>
            </w:r>
          </w:p>
          <w:p w14:paraId="77F53C2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Określenie układu strony (pionowa/pozioma),</w:t>
            </w:r>
          </w:p>
          <w:p w14:paraId="16116A1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Wydruk dokumentów,</w:t>
            </w:r>
          </w:p>
          <w:p w14:paraId="351F46E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Pracę na dokumentach utworzonych przy pomocy Microsoft Word 2010 i 2016 z zapewnieniem konwersji wszystkich elementów i atrybutów dokumentu,</w:t>
            </w:r>
          </w:p>
          <w:p w14:paraId="0BEECF67"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Zabezpieczenie dokumentów hasłem przed odczytem oraz przed wprowadzaniem modyfikacji,</w:t>
            </w:r>
          </w:p>
          <w:p w14:paraId="6397559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e)</w:t>
            </w:r>
            <w:r w:rsidRPr="00A41005">
              <w:rPr>
                <w:rFonts w:asciiTheme="minorHAnsi" w:hAnsiTheme="minorHAnsi" w:cstheme="minorHAnsi"/>
                <w:bCs/>
                <w:sz w:val="20"/>
              </w:rPr>
              <w:tab/>
              <w:t>Arkusz kalkulacyjny musi umożliwiać:</w:t>
            </w:r>
          </w:p>
          <w:p w14:paraId="3FBB846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raportów tabelarycznych,</w:t>
            </w:r>
          </w:p>
          <w:p w14:paraId="17D2671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wykresów liniowych (wraz z linią trendu), słupkowych, kołowych,</w:t>
            </w:r>
          </w:p>
          <w:p w14:paraId="7DCA9042"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arkuszy kalkulacyjnych zawierających teksty, dane liczbowe oraz formuły przeprowadzające operacje matematyczne, logiczne, tekstowe, statystyczne oraz operacje na danych finansowych i na miarach czasu,</w:t>
            </w:r>
          </w:p>
          <w:p w14:paraId="5F0D342D"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Wyszukiwanie i zamianę danych,</w:t>
            </w:r>
          </w:p>
          <w:p w14:paraId="18979A7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Wykonywanie analiz danych przy użyciu formatowania warunkowego,</w:t>
            </w:r>
          </w:p>
          <w:p w14:paraId="0B0D5ADE"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Nazywanie komórek arkusza i odwoływanie się w formułach po takiej nazwie,</w:t>
            </w:r>
          </w:p>
          <w:p w14:paraId="1A639A6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czasu, daty i wartości finansowych z polskim formatem,</w:t>
            </w:r>
          </w:p>
          <w:p w14:paraId="7A26BA7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 wielu arkuszy kalkulacyjnych w jednym pliku,</w:t>
            </w:r>
          </w:p>
          <w:p w14:paraId="3ACBE2F6"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Zachowanie zgodności z formatami plików utworzonych za pomocą oprogramowania Microsoft Excel 2010 i 2016, z uwzględnieniem poprawnej realizacji użytych w nich funkcji specjalnych i makropoleceń,</w:t>
            </w:r>
          </w:p>
          <w:p w14:paraId="3ACEC3B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Zabezpieczenie dokumentów hasłem przed odczytem oraz przed wprowadzaniem modyfikacji,</w:t>
            </w:r>
          </w:p>
          <w:p w14:paraId="2937473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f)</w:t>
            </w:r>
            <w:r w:rsidRPr="00A41005">
              <w:rPr>
                <w:rFonts w:asciiTheme="minorHAnsi" w:hAnsiTheme="minorHAnsi" w:cstheme="minorHAnsi"/>
                <w:bCs/>
                <w:sz w:val="20"/>
              </w:rPr>
              <w:tab/>
              <w:t>Narzędzie do przygotowywania i prowadzenia prezentacji musi umożliwiać:</w:t>
            </w:r>
          </w:p>
          <w:p w14:paraId="48B37C2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Przygotowywanie prezentacji multimedialnych, które będą:</w:t>
            </w:r>
          </w:p>
          <w:p w14:paraId="28AF552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Prezentowanie przy użyciu projektora multimedialnego,</w:t>
            </w:r>
          </w:p>
          <w:p w14:paraId="6961FF8C"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Drukowanie w formacie umożliwiającym robienie notatek,</w:t>
            </w:r>
          </w:p>
          <w:p w14:paraId="6F9583E9"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Zapisanie jako prezentacja tylko do odczytu,</w:t>
            </w:r>
          </w:p>
          <w:p w14:paraId="55F26A9E"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Nagrywanie narracji i dołączanie jej do prezentacji,</w:t>
            </w:r>
          </w:p>
          <w:p w14:paraId="4FF11BA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Opatrywanie slajdów notatkami dla prezentera,</w:t>
            </w:r>
          </w:p>
          <w:p w14:paraId="6FBF5B04"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i formatowanie tekstów, obiektów graficznych, tabel, nagrań dźwiękowych i wideo,</w:t>
            </w:r>
          </w:p>
          <w:p w14:paraId="1B1397E0"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tabel i wykresów pochodzących z arkusza kalkulacyjnego,</w:t>
            </w:r>
          </w:p>
          <w:p w14:paraId="59B623BF"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Odświeżenie wykresu znajdującego się w prezentacji po zmianie danych w źródłowym arkuszu kalkulacyjnym,</w:t>
            </w:r>
          </w:p>
          <w:p w14:paraId="3B863925"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tworzenia animacji obiektów i całych slajdów,</w:t>
            </w:r>
          </w:p>
          <w:p w14:paraId="274B035B"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Prowadzenie prezentacji w trybie prezentera, gdzie slajdy są widoczne </w:t>
            </w:r>
            <w:r w:rsidRPr="00A41005">
              <w:rPr>
                <w:rFonts w:asciiTheme="minorHAnsi" w:hAnsiTheme="minorHAnsi" w:cstheme="minorHAnsi"/>
                <w:bCs/>
                <w:sz w:val="20"/>
              </w:rPr>
              <w:lastRenderedPageBreak/>
              <w:t>na jednym monitorze lub projektorze, a na drugim widoczne są slajdy i notatki prezentera,</w:t>
            </w:r>
          </w:p>
          <w:p w14:paraId="03CC7568" w14:textId="77777777" w:rsidR="000147A0" w:rsidRPr="00A41005" w:rsidRDefault="000147A0" w:rsidP="000147A0">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zgodność z formatami plików utworzonych za pomocą oprogramowania MS PowerPoint 2010, 2013 i 2016.</w:t>
            </w:r>
          </w:p>
          <w:p w14:paraId="55C0C4DC" w14:textId="77777777" w:rsidR="000147A0" w:rsidRPr="00A41005" w:rsidRDefault="000147A0" w:rsidP="000147A0">
            <w:pPr>
              <w:pStyle w:val="Akapitzlist"/>
              <w:ind w:left="0"/>
              <w:contextualSpacing w:val="0"/>
              <w:rPr>
                <w:rFonts w:asciiTheme="minorHAnsi" w:hAnsiTheme="minorHAnsi" w:cstheme="minorHAnsi"/>
                <w:bCs/>
                <w:sz w:val="20"/>
              </w:rPr>
            </w:pPr>
            <w:r w:rsidRPr="00A41005">
              <w:rPr>
                <w:rFonts w:asciiTheme="minorHAnsi" w:hAnsiTheme="minorHAnsi" w:cstheme="minorHAnsi"/>
                <w:bCs/>
                <w:sz w:val="20"/>
              </w:rPr>
              <w:t>W przypadku zapewnienia usługi równoważnej konieczne będzie powierzenie Wykonawcy przetwarzania danych osobowych w zakresie narzędzi zapewniających przechowywanie i dostęp do takich danych.</w:t>
            </w:r>
          </w:p>
          <w:p w14:paraId="2FCA2CAB" w14:textId="1A6A45CA" w:rsidR="000147A0" w:rsidRPr="00A41005" w:rsidRDefault="000147A0" w:rsidP="000147A0">
            <w:pPr>
              <w:pStyle w:val="Akapitzlist"/>
              <w:ind w:left="0"/>
              <w:contextualSpacing w:val="0"/>
              <w:rPr>
                <w:rFonts w:asciiTheme="minorHAnsi" w:hAnsiTheme="minorHAnsi" w:cstheme="minorHAnsi"/>
                <w:sz w:val="20"/>
              </w:rPr>
            </w:pPr>
          </w:p>
        </w:tc>
      </w:tr>
      <w:tr w:rsidR="00472875" w:rsidRPr="00A41005" w14:paraId="1A541E34" w14:textId="77777777" w:rsidTr="00322A6B">
        <w:trPr>
          <w:trHeight w:val="1305"/>
        </w:trPr>
        <w:tc>
          <w:tcPr>
            <w:tcW w:w="1843" w:type="dxa"/>
          </w:tcPr>
          <w:p w14:paraId="046215C1" w14:textId="77777777" w:rsidR="00472875" w:rsidRPr="00A41005" w:rsidRDefault="00472875"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lastRenderedPageBreak/>
              <w:t>Gwarancja</w:t>
            </w:r>
          </w:p>
        </w:tc>
        <w:tc>
          <w:tcPr>
            <w:tcW w:w="7371" w:type="dxa"/>
          </w:tcPr>
          <w:p w14:paraId="41E931AE" w14:textId="77777777" w:rsidR="00472875" w:rsidRPr="00A41005" w:rsidRDefault="00472875" w:rsidP="00322A6B">
            <w:pPr>
              <w:pStyle w:val="Akapitzlist"/>
              <w:ind w:left="0"/>
              <w:rPr>
                <w:rFonts w:asciiTheme="minorHAnsi" w:hAnsiTheme="minorHAnsi" w:cstheme="minorHAnsi"/>
                <w:sz w:val="20"/>
              </w:rPr>
            </w:pPr>
            <w:r w:rsidRPr="00A41005">
              <w:rPr>
                <w:rFonts w:asciiTheme="minorHAnsi" w:hAnsiTheme="minorHAnsi" w:cstheme="minorHAnsi"/>
                <w:sz w:val="20"/>
              </w:rPr>
              <w:t>Gwarancji jakości producenta:</w:t>
            </w:r>
          </w:p>
          <w:p w14:paraId="2A23AC44" w14:textId="0D369B6E" w:rsidR="00472875" w:rsidRPr="00A41005" w:rsidRDefault="00505115" w:rsidP="00322A6B">
            <w:pPr>
              <w:pStyle w:val="Akapitzlist"/>
              <w:widowControl/>
              <w:numPr>
                <w:ilvl w:val="1"/>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Na okres co najmniej  24</w:t>
            </w:r>
            <w:r w:rsidR="00472875" w:rsidRPr="00A41005">
              <w:rPr>
                <w:rFonts w:asciiTheme="minorHAnsi" w:hAnsiTheme="minorHAnsi" w:cstheme="minorHAnsi"/>
                <w:sz w:val="20"/>
              </w:rPr>
              <w:t xml:space="preserve"> miesięcy - świadczonej  w siedzibie Zamawiającego,</w:t>
            </w:r>
          </w:p>
          <w:p w14:paraId="35946E31" w14:textId="5E604227" w:rsidR="00472875" w:rsidRPr="00A41005" w:rsidRDefault="00472875" w:rsidP="00322A6B">
            <w:pPr>
              <w:pStyle w:val="Akapitzlist"/>
              <w:widowControl/>
              <w:numPr>
                <w:ilvl w:val="1"/>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Zgłoszenia serwisowe drogą online (formularz online producenta) , telefonicznie oraz mailem</w:t>
            </w:r>
          </w:p>
        </w:tc>
      </w:tr>
    </w:tbl>
    <w:p w14:paraId="1ED8DF93" w14:textId="6B88DCA0" w:rsidR="00472875" w:rsidRDefault="00472875" w:rsidP="002C6536">
      <w:pPr>
        <w:pStyle w:val="Default"/>
        <w:spacing w:line="276" w:lineRule="auto"/>
        <w:jc w:val="both"/>
        <w:rPr>
          <w:rFonts w:ascii="Calibri" w:hAnsi="Calibri"/>
          <w:sz w:val="22"/>
          <w:szCs w:val="22"/>
        </w:rPr>
      </w:pPr>
    </w:p>
    <w:p w14:paraId="7C84C4D5" w14:textId="77777777" w:rsidR="00A41005" w:rsidRDefault="00A41005" w:rsidP="002C6536">
      <w:pPr>
        <w:pStyle w:val="Default"/>
        <w:spacing w:line="276" w:lineRule="auto"/>
        <w:jc w:val="both"/>
        <w:rPr>
          <w:rFonts w:ascii="Calibri" w:hAnsi="Calibri"/>
          <w:sz w:val="22"/>
          <w:szCs w:val="22"/>
        </w:rPr>
      </w:pPr>
    </w:p>
    <w:p w14:paraId="7DC25614" w14:textId="5F76F607" w:rsidR="00472875" w:rsidRDefault="005C686E" w:rsidP="00472875">
      <w:pPr>
        <w:pStyle w:val="Akapitzlist"/>
        <w:numPr>
          <w:ilvl w:val="0"/>
          <w:numId w:val="27"/>
        </w:numPr>
        <w:jc w:val="both"/>
        <w:rPr>
          <w:rFonts w:asciiTheme="minorHAnsi" w:hAnsiTheme="minorHAnsi" w:cstheme="minorHAnsi"/>
          <w:b/>
          <w:bCs/>
          <w:szCs w:val="24"/>
        </w:rPr>
      </w:pPr>
      <w:r>
        <w:rPr>
          <w:rFonts w:asciiTheme="minorHAnsi" w:hAnsiTheme="minorHAnsi" w:cstheme="minorHAnsi"/>
          <w:b/>
          <w:bCs/>
          <w:szCs w:val="24"/>
        </w:rPr>
        <w:t>Laptop</w:t>
      </w:r>
      <w:r w:rsidR="00472875">
        <w:rPr>
          <w:rFonts w:asciiTheme="minorHAnsi" w:hAnsiTheme="minorHAnsi" w:cstheme="minorHAnsi"/>
          <w:b/>
          <w:bCs/>
          <w:szCs w:val="24"/>
        </w:rPr>
        <w:t xml:space="preserve"> w wersji </w:t>
      </w:r>
      <w:r w:rsidR="006C39AF">
        <w:rPr>
          <w:rFonts w:asciiTheme="minorHAnsi" w:hAnsiTheme="minorHAnsi" w:cstheme="minorHAnsi"/>
          <w:b/>
          <w:bCs/>
          <w:szCs w:val="24"/>
        </w:rPr>
        <w:t>rozbudowanej</w:t>
      </w:r>
      <w:r>
        <w:rPr>
          <w:rFonts w:asciiTheme="minorHAnsi" w:hAnsiTheme="minorHAnsi" w:cstheme="minorHAnsi"/>
          <w:b/>
          <w:bCs/>
          <w:szCs w:val="24"/>
        </w:rPr>
        <w:t xml:space="preserve"> </w:t>
      </w:r>
      <w:r w:rsidR="00E86809">
        <w:rPr>
          <w:rFonts w:asciiTheme="minorHAnsi" w:hAnsiTheme="minorHAnsi" w:cstheme="minorHAnsi"/>
          <w:b/>
          <w:bCs/>
          <w:szCs w:val="24"/>
        </w:rPr>
        <w:t xml:space="preserve">- </w:t>
      </w:r>
      <w:bookmarkStart w:id="0" w:name="_GoBack"/>
      <w:bookmarkEnd w:id="0"/>
      <w:r w:rsidR="00E86809">
        <w:rPr>
          <w:rFonts w:asciiTheme="minorHAnsi" w:hAnsiTheme="minorHAnsi" w:cstheme="minorHAnsi"/>
          <w:b/>
          <w:bCs/>
          <w:szCs w:val="24"/>
        </w:rPr>
        <w:t xml:space="preserve">2 sztuki </w:t>
      </w:r>
      <w:r>
        <w:rPr>
          <w:rFonts w:asciiTheme="minorHAnsi" w:hAnsiTheme="minorHAnsi" w:cstheme="minorHAnsi"/>
          <w:b/>
          <w:bCs/>
          <w:szCs w:val="24"/>
        </w:rPr>
        <w:t>+ monitor</w:t>
      </w:r>
      <w:r w:rsidR="00472875" w:rsidRPr="001B5DA2">
        <w:rPr>
          <w:rFonts w:asciiTheme="minorHAnsi" w:hAnsiTheme="minorHAnsi" w:cstheme="minorHAnsi"/>
          <w:b/>
          <w:bCs/>
          <w:szCs w:val="24"/>
        </w:rPr>
        <w:t xml:space="preserve"> – </w:t>
      </w:r>
      <w:r w:rsidR="00472875">
        <w:rPr>
          <w:rFonts w:asciiTheme="minorHAnsi" w:hAnsiTheme="minorHAnsi" w:cstheme="minorHAnsi"/>
          <w:b/>
          <w:bCs/>
          <w:szCs w:val="24"/>
        </w:rPr>
        <w:t>2 sztuki</w:t>
      </w:r>
    </w:p>
    <w:p w14:paraId="27F283C7" w14:textId="77777777" w:rsidR="00A41005" w:rsidRPr="00A41005" w:rsidRDefault="00A41005" w:rsidP="00A41005">
      <w:pPr>
        <w:jc w:val="both"/>
        <w:rPr>
          <w:rFonts w:asciiTheme="minorHAnsi" w:hAnsiTheme="minorHAnsi" w:cstheme="minorHAnsi"/>
          <w:b/>
          <w:bCs/>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371"/>
      </w:tblGrid>
      <w:tr w:rsidR="005C686E" w:rsidRPr="00A41005" w14:paraId="2BF46817" w14:textId="77777777" w:rsidTr="005C686E">
        <w:trPr>
          <w:trHeight w:val="384"/>
        </w:trPr>
        <w:tc>
          <w:tcPr>
            <w:tcW w:w="9214" w:type="dxa"/>
            <w:gridSpan w:val="2"/>
            <w:vAlign w:val="center"/>
          </w:tcPr>
          <w:p w14:paraId="61F91701" w14:textId="2980E34D" w:rsidR="005C686E" w:rsidRPr="005C686E" w:rsidRDefault="005C686E" w:rsidP="005C686E">
            <w:pPr>
              <w:pStyle w:val="Akapitzlist"/>
              <w:ind w:left="0"/>
              <w:rPr>
                <w:rFonts w:asciiTheme="minorHAnsi" w:hAnsiTheme="minorHAnsi" w:cstheme="minorHAnsi"/>
                <w:b/>
                <w:sz w:val="20"/>
              </w:rPr>
            </w:pPr>
            <w:r w:rsidRPr="005C686E">
              <w:rPr>
                <w:rFonts w:asciiTheme="minorHAnsi" w:hAnsiTheme="minorHAnsi" w:cstheme="minorHAnsi"/>
                <w:b/>
                <w:sz w:val="22"/>
              </w:rPr>
              <w:t>Monitor</w:t>
            </w:r>
          </w:p>
        </w:tc>
      </w:tr>
      <w:tr w:rsidR="00472875" w:rsidRPr="00A41005" w14:paraId="7C104AC7" w14:textId="77777777" w:rsidTr="00322A6B">
        <w:trPr>
          <w:trHeight w:val="699"/>
        </w:trPr>
        <w:tc>
          <w:tcPr>
            <w:tcW w:w="1843" w:type="dxa"/>
          </w:tcPr>
          <w:p w14:paraId="2EA5AFE5" w14:textId="77777777" w:rsidR="00472875" w:rsidRPr="00A41005" w:rsidRDefault="00472875" w:rsidP="00322A6B">
            <w:pPr>
              <w:spacing w:after="0" w:line="240" w:lineRule="auto"/>
              <w:ind w:left="176"/>
              <w:rPr>
                <w:rFonts w:asciiTheme="minorHAnsi" w:hAnsiTheme="minorHAnsi" w:cstheme="minorHAnsi"/>
                <w:sz w:val="20"/>
                <w:szCs w:val="20"/>
              </w:rPr>
            </w:pPr>
            <w:r w:rsidRPr="00A41005">
              <w:rPr>
                <w:rFonts w:asciiTheme="minorHAnsi" w:hAnsiTheme="minorHAnsi" w:cstheme="minorHAnsi"/>
                <w:sz w:val="20"/>
                <w:szCs w:val="20"/>
              </w:rPr>
              <w:t>Zastosowanie</w:t>
            </w:r>
          </w:p>
        </w:tc>
        <w:tc>
          <w:tcPr>
            <w:tcW w:w="7371" w:type="dxa"/>
          </w:tcPr>
          <w:p w14:paraId="2559AB60" w14:textId="0EA9027A" w:rsidR="00472875" w:rsidRPr="001416E8" w:rsidRDefault="005C686E" w:rsidP="005C686E">
            <w:pPr>
              <w:pStyle w:val="Akapitzlist"/>
              <w:ind w:left="0"/>
              <w:rPr>
                <w:rFonts w:asciiTheme="minorHAnsi" w:hAnsiTheme="minorHAnsi" w:cstheme="minorHAnsi"/>
                <w:b/>
                <w:sz w:val="20"/>
              </w:rPr>
            </w:pPr>
            <w:r w:rsidRPr="001416E8">
              <w:rPr>
                <w:rFonts w:asciiTheme="minorHAnsi" w:hAnsiTheme="minorHAnsi" w:cstheme="minorHAnsi"/>
                <w:b/>
                <w:sz w:val="20"/>
              </w:rPr>
              <w:t>Dodatkowy monitor, który</w:t>
            </w:r>
            <w:r w:rsidR="00472875" w:rsidRPr="001416E8">
              <w:rPr>
                <w:rFonts w:asciiTheme="minorHAnsi" w:hAnsiTheme="minorHAnsi" w:cstheme="minorHAnsi"/>
                <w:b/>
                <w:sz w:val="20"/>
              </w:rPr>
              <w:t xml:space="preserve"> będzie wykorzystywany dla potrzeb aplikacji biurowych, aplikacji edukacyjnych, aplikacji obliczeniowych, dostępu do Internetu oraz poczty elektronicznej.</w:t>
            </w:r>
            <w:r w:rsidR="00487AFA" w:rsidRPr="001416E8">
              <w:rPr>
                <w:rFonts w:asciiTheme="minorHAnsi" w:hAnsiTheme="minorHAnsi" w:cstheme="minorHAnsi"/>
                <w:b/>
                <w:sz w:val="20"/>
              </w:rPr>
              <w:t xml:space="preserve"> </w:t>
            </w:r>
            <w:r w:rsidRPr="001416E8">
              <w:rPr>
                <w:rFonts w:asciiTheme="minorHAnsi" w:hAnsiTheme="minorHAnsi" w:cstheme="minorHAnsi"/>
                <w:b/>
                <w:sz w:val="20"/>
              </w:rPr>
              <w:t>Monitor</w:t>
            </w:r>
            <w:r w:rsidR="00487AFA" w:rsidRPr="001416E8">
              <w:rPr>
                <w:rFonts w:asciiTheme="minorHAnsi" w:hAnsiTheme="minorHAnsi" w:cstheme="minorHAnsi"/>
                <w:b/>
                <w:sz w:val="20"/>
              </w:rPr>
              <w:t xml:space="preserve"> wykorzystywany będzie w szczególności do obsługi i </w:t>
            </w:r>
            <w:r w:rsidRPr="001416E8">
              <w:rPr>
                <w:rFonts w:asciiTheme="minorHAnsi" w:hAnsiTheme="minorHAnsi" w:cstheme="minorHAnsi"/>
                <w:b/>
                <w:sz w:val="20"/>
              </w:rPr>
              <w:t>pracy z aplikacjami graficznymi.</w:t>
            </w:r>
          </w:p>
        </w:tc>
      </w:tr>
      <w:tr w:rsidR="00472875" w:rsidRPr="00A41005" w14:paraId="2E4679E4" w14:textId="77777777" w:rsidTr="00322A6B">
        <w:tblPrEx>
          <w:tblCellMar>
            <w:left w:w="70" w:type="dxa"/>
            <w:right w:w="70" w:type="dxa"/>
          </w:tblCellMar>
          <w:tblLook w:val="0000" w:firstRow="0" w:lastRow="0" w:firstColumn="0" w:lastColumn="0" w:noHBand="0" w:noVBand="0"/>
        </w:tblPrEx>
        <w:trPr>
          <w:trHeight w:val="315"/>
        </w:trPr>
        <w:tc>
          <w:tcPr>
            <w:tcW w:w="1843" w:type="dxa"/>
          </w:tcPr>
          <w:p w14:paraId="1811AA62" w14:textId="77777777" w:rsidR="00472875" w:rsidRPr="00A41005" w:rsidRDefault="00472875"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Monitor:</w:t>
            </w:r>
          </w:p>
        </w:tc>
        <w:tc>
          <w:tcPr>
            <w:tcW w:w="7371" w:type="dxa"/>
          </w:tcPr>
          <w:p w14:paraId="78C22F44"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Typ ekranu</w:t>
            </w:r>
            <w:r w:rsidRPr="001416E8">
              <w:rPr>
                <w:rFonts w:asciiTheme="minorHAnsi" w:hAnsiTheme="minorHAnsi" w:cstheme="minorHAnsi"/>
                <w:b/>
                <w:sz w:val="20"/>
                <w:szCs w:val="20"/>
              </w:rPr>
              <w:tab/>
              <w:t>płaski</w:t>
            </w:r>
          </w:p>
          <w:p w14:paraId="4C9C3059" w14:textId="634D9D91"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Przekątna</w:t>
            </w:r>
            <w:r w:rsidRPr="001416E8">
              <w:rPr>
                <w:rFonts w:asciiTheme="minorHAnsi" w:hAnsiTheme="minorHAnsi" w:cstheme="minorHAnsi"/>
                <w:b/>
                <w:sz w:val="20"/>
                <w:szCs w:val="20"/>
              </w:rPr>
              <w:tab/>
              <w:t>min 2</w:t>
            </w:r>
            <w:r w:rsidR="003C6405" w:rsidRPr="001416E8">
              <w:rPr>
                <w:rFonts w:asciiTheme="minorHAnsi" w:hAnsiTheme="minorHAnsi" w:cstheme="minorHAnsi"/>
                <w:b/>
                <w:sz w:val="20"/>
                <w:szCs w:val="20"/>
              </w:rPr>
              <w:t>3</w:t>
            </w:r>
            <w:r w:rsidRPr="001416E8">
              <w:rPr>
                <w:rFonts w:asciiTheme="minorHAnsi" w:hAnsiTheme="minorHAnsi" w:cstheme="minorHAnsi"/>
                <w:b/>
                <w:sz w:val="20"/>
                <w:szCs w:val="20"/>
              </w:rPr>
              <w:t>.5 cali</w:t>
            </w:r>
          </w:p>
          <w:p w14:paraId="1EF7AEDC"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Rozdzielczość nominalna min</w:t>
            </w:r>
            <w:r w:rsidRPr="001416E8">
              <w:rPr>
                <w:rFonts w:asciiTheme="minorHAnsi" w:hAnsiTheme="minorHAnsi" w:cstheme="minorHAnsi"/>
                <w:b/>
                <w:sz w:val="20"/>
                <w:szCs w:val="20"/>
              </w:rPr>
              <w:tab/>
              <w:t>1920 x 1080 (Full HD) piksele</w:t>
            </w:r>
          </w:p>
          <w:p w14:paraId="1EFBF050"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Powłoka matrycy</w:t>
            </w:r>
            <w:r w:rsidRPr="001416E8">
              <w:rPr>
                <w:rFonts w:asciiTheme="minorHAnsi" w:hAnsiTheme="minorHAnsi" w:cstheme="minorHAnsi"/>
                <w:b/>
                <w:sz w:val="20"/>
                <w:szCs w:val="20"/>
              </w:rPr>
              <w:tab/>
              <w:t>antyrefleksyjna</w:t>
            </w:r>
          </w:p>
          <w:p w14:paraId="423EDDFE" w14:textId="57114499"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Typ matrycy</w:t>
            </w:r>
            <w:r w:rsidRPr="001416E8">
              <w:rPr>
                <w:rFonts w:asciiTheme="minorHAnsi" w:hAnsiTheme="minorHAnsi" w:cstheme="minorHAnsi"/>
                <w:b/>
                <w:sz w:val="20"/>
                <w:szCs w:val="20"/>
              </w:rPr>
              <w:tab/>
              <w:t>IPS</w:t>
            </w:r>
            <w:r w:rsidR="003F795F" w:rsidRPr="001416E8">
              <w:rPr>
                <w:rFonts w:asciiTheme="minorHAnsi" w:hAnsiTheme="minorHAnsi" w:cstheme="minorHAnsi"/>
                <w:b/>
                <w:sz w:val="20"/>
                <w:szCs w:val="20"/>
              </w:rPr>
              <w:t xml:space="preserve"> lub VA</w:t>
            </w:r>
          </w:p>
          <w:p w14:paraId="00D72435"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Format obrazu</w:t>
            </w:r>
            <w:r w:rsidRPr="001416E8">
              <w:rPr>
                <w:rFonts w:asciiTheme="minorHAnsi" w:hAnsiTheme="minorHAnsi" w:cstheme="minorHAnsi"/>
                <w:b/>
                <w:sz w:val="20"/>
                <w:szCs w:val="20"/>
              </w:rPr>
              <w:tab/>
              <w:t>16:9</w:t>
            </w:r>
          </w:p>
          <w:p w14:paraId="5894AAF1"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Rodzaj podświetlenia</w:t>
            </w:r>
            <w:r w:rsidRPr="001416E8">
              <w:rPr>
                <w:rFonts w:asciiTheme="minorHAnsi" w:hAnsiTheme="minorHAnsi" w:cstheme="minorHAnsi"/>
                <w:b/>
                <w:sz w:val="20"/>
                <w:szCs w:val="20"/>
              </w:rPr>
              <w:tab/>
              <w:t>LED</w:t>
            </w:r>
          </w:p>
          <w:p w14:paraId="5A6EC767" w14:textId="76DD7F35" w:rsidR="00472875" w:rsidRPr="001416E8" w:rsidRDefault="006F7173"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Częstotliwość odświeżania</w:t>
            </w:r>
            <w:r w:rsidRPr="001416E8">
              <w:rPr>
                <w:rFonts w:asciiTheme="minorHAnsi" w:hAnsiTheme="minorHAnsi" w:cstheme="minorHAnsi"/>
                <w:b/>
                <w:sz w:val="20"/>
                <w:szCs w:val="20"/>
              </w:rPr>
              <w:tab/>
            </w:r>
            <w:r w:rsidR="003F795F" w:rsidRPr="001416E8">
              <w:rPr>
                <w:rFonts w:asciiTheme="minorHAnsi" w:hAnsiTheme="minorHAnsi" w:cstheme="minorHAnsi"/>
                <w:b/>
                <w:sz w:val="20"/>
                <w:szCs w:val="20"/>
              </w:rPr>
              <w:t>75</w:t>
            </w:r>
            <w:r w:rsidR="00472875" w:rsidRPr="001416E8">
              <w:rPr>
                <w:rFonts w:asciiTheme="minorHAnsi" w:hAnsiTheme="minorHAnsi" w:cstheme="minorHAnsi"/>
                <w:b/>
                <w:sz w:val="20"/>
                <w:szCs w:val="20"/>
              </w:rPr>
              <w:t xml:space="preserve"> Hz</w:t>
            </w:r>
          </w:p>
          <w:p w14:paraId="6A661628" w14:textId="77777777" w:rsidR="00472875" w:rsidRPr="001416E8" w:rsidRDefault="00472875" w:rsidP="00322A6B">
            <w:pPr>
              <w:spacing w:after="0"/>
              <w:rPr>
                <w:rFonts w:asciiTheme="minorHAnsi" w:hAnsiTheme="minorHAnsi" w:cstheme="minorHAnsi"/>
                <w:b/>
                <w:sz w:val="20"/>
                <w:szCs w:val="20"/>
              </w:rPr>
            </w:pPr>
            <w:r w:rsidRPr="001416E8">
              <w:rPr>
                <w:rFonts w:asciiTheme="minorHAnsi" w:hAnsiTheme="minorHAnsi" w:cstheme="minorHAnsi"/>
                <w:b/>
                <w:sz w:val="20"/>
                <w:szCs w:val="20"/>
              </w:rPr>
              <w:t>Możliwość regulacji</w:t>
            </w:r>
            <w:r w:rsidRPr="001416E8">
              <w:rPr>
                <w:rFonts w:asciiTheme="minorHAnsi" w:hAnsiTheme="minorHAnsi" w:cstheme="minorHAnsi"/>
                <w:b/>
                <w:sz w:val="20"/>
                <w:szCs w:val="20"/>
              </w:rPr>
              <w:tab/>
              <w:t>pochył</w:t>
            </w:r>
          </w:p>
          <w:p w14:paraId="257EBC95" w14:textId="7884D1EF" w:rsidR="00472875" w:rsidRPr="001416E8" w:rsidRDefault="003F795F" w:rsidP="00322A6B">
            <w:pPr>
              <w:suppressAutoHyphens/>
              <w:spacing w:after="0"/>
              <w:rPr>
                <w:rFonts w:asciiTheme="minorHAnsi" w:hAnsiTheme="minorHAnsi" w:cstheme="minorHAnsi"/>
                <w:b/>
                <w:sz w:val="20"/>
                <w:szCs w:val="20"/>
                <w:u w:val="single"/>
              </w:rPr>
            </w:pPr>
            <w:r w:rsidRPr="001416E8">
              <w:rPr>
                <w:rFonts w:asciiTheme="minorHAnsi" w:hAnsiTheme="minorHAnsi" w:cstheme="minorHAnsi"/>
                <w:b/>
                <w:sz w:val="20"/>
                <w:szCs w:val="20"/>
                <w:u w:val="single"/>
              </w:rPr>
              <w:t>W zestawie z:</w:t>
            </w:r>
          </w:p>
          <w:p w14:paraId="0A1566DD" w14:textId="4419073A" w:rsidR="00472875" w:rsidRPr="001416E8" w:rsidRDefault="00472875" w:rsidP="00322A6B">
            <w:pPr>
              <w:suppressAutoHyphens/>
              <w:spacing w:after="0"/>
              <w:rPr>
                <w:rFonts w:asciiTheme="minorHAnsi" w:hAnsiTheme="minorHAnsi" w:cstheme="minorHAnsi"/>
                <w:b/>
                <w:sz w:val="20"/>
                <w:szCs w:val="20"/>
              </w:rPr>
            </w:pPr>
            <w:r w:rsidRPr="001416E8">
              <w:rPr>
                <w:rFonts w:asciiTheme="minorHAnsi" w:hAnsiTheme="minorHAnsi" w:cstheme="minorHAnsi"/>
                <w:b/>
                <w:sz w:val="20"/>
                <w:szCs w:val="20"/>
              </w:rPr>
              <w:t xml:space="preserve">kabel </w:t>
            </w:r>
            <w:r w:rsidR="003F795F" w:rsidRPr="001416E8">
              <w:rPr>
                <w:rFonts w:asciiTheme="minorHAnsi" w:hAnsiTheme="minorHAnsi" w:cstheme="minorHAnsi"/>
                <w:b/>
                <w:sz w:val="20"/>
                <w:szCs w:val="20"/>
              </w:rPr>
              <w:t>HDMI</w:t>
            </w:r>
          </w:p>
          <w:p w14:paraId="1BA1EE7A" w14:textId="3D4F8D49" w:rsidR="00472875" w:rsidRPr="001416E8" w:rsidRDefault="00472875" w:rsidP="00322A6B">
            <w:pPr>
              <w:suppressAutoHyphens/>
              <w:spacing w:after="0"/>
              <w:rPr>
                <w:rFonts w:asciiTheme="minorHAnsi" w:hAnsiTheme="minorHAnsi" w:cstheme="minorHAnsi"/>
                <w:b/>
                <w:sz w:val="20"/>
                <w:szCs w:val="20"/>
              </w:rPr>
            </w:pPr>
            <w:r w:rsidRPr="001416E8">
              <w:rPr>
                <w:rFonts w:asciiTheme="minorHAnsi" w:hAnsiTheme="minorHAnsi" w:cstheme="minorHAnsi"/>
                <w:b/>
                <w:sz w:val="20"/>
                <w:szCs w:val="20"/>
              </w:rPr>
              <w:t>kabel zasilający</w:t>
            </w:r>
            <w:r w:rsidR="003F795F" w:rsidRPr="001416E8">
              <w:rPr>
                <w:rFonts w:asciiTheme="minorHAnsi" w:hAnsiTheme="minorHAnsi" w:cstheme="minorHAnsi"/>
                <w:b/>
                <w:sz w:val="20"/>
                <w:szCs w:val="20"/>
              </w:rPr>
              <w:t xml:space="preserve"> / zasilacz</w:t>
            </w:r>
          </w:p>
        </w:tc>
      </w:tr>
      <w:tr w:rsidR="005C686E" w:rsidRPr="00A41005" w14:paraId="0BEE57DC" w14:textId="77777777" w:rsidTr="005C686E">
        <w:tblPrEx>
          <w:tblCellMar>
            <w:left w:w="70" w:type="dxa"/>
            <w:right w:w="70" w:type="dxa"/>
          </w:tblCellMar>
          <w:tblLook w:val="0000" w:firstRow="0" w:lastRow="0" w:firstColumn="0" w:lastColumn="0" w:noHBand="0" w:noVBand="0"/>
        </w:tblPrEx>
        <w:trPr>
          <w:trHeight w:val="493"/>
        </w:trPr>
        <w:tc>
          <w:tcPr>
            <w:tcW w:w="9214" w:type="dxa"/>
            <w:gridSpan w:val="2"/>
            <w:vAlign w:val="center"/>
          </w:tcPr>
          <w:p w14:paraId="4BAB7683" w14:textId="12D8FD7A" w:rsidR="005C686E" w:rsidRPr="001416E8" w:rsidRDefault="005C686E" w:rsidP="005C686E">
            <w:pPr>
              <w:spacing w:after="0"/>
              <w:rPr>
                <w:rFonts w:asciiTheme="minorHAnsi" w:hAnsiTheme="minorHAnsi" w:cstheme="minorHAnsi"/>
                <w:b/>
                <w:sz w:val="20"/>
                <w:szCs w:val="20"/>
              </w:rPr>
            </w:pPr>
            <w:r w:rsidRPr="001416E8">
              <w:rPr>
                <w:rFonts w:asciiTheme="minorHAnsi" w:hAnsiTheme="minorHAnsi" w:cstheme="minorHAnsi"/>
                <w:b/>
                <w:bCs/>
                <w:szCs w:val="24"/>
              </w:rPr>
              <w:t>Laptop w wersji rozbudowanej</w:t>
            </w:r>
          </w:p>
        </w:tc>
      </w:tr>
      <w:tr w:rsidR="005C686E" w:rsidRPr="00A41005" w14:paraId="19AF3776" w14:textId="77777777" w:rsidTr="00322A6B">
        <w:tblPrEx>
          <w:tblCellMar>
            <w:left w:w="70" w:type="dxa"/>
            <w:right w:w="70" w:type="dxa"/>
          </w:tblCellMar>
          <w:tblLook w:val="0000" w:firstRow="0" w:lastRow="0" w:firstColumn="0" w:lastColumn="0" w:noHBand="0" w:noVBand="0"/>
        </w:tblPrEx>
        <w:trPr>
          <w:trHeight w:val="315"/>
        </w:trPr>
        <w:tc>
          <w:tcPr>
            <w:tcW w:w="1843" w:type="dxa"/>
          </w:tcPr>
          <w:p w14:paraId="57204F19" w14:textId="75D29B0D" w:rsidR="005C686E" w:rsidRPr="00A41005" w:rsidRDefault="005C686E"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Zastosowanie</w:t>
            </w:r>
          </w:p>
        </w:tc>
        <w:tc>
          <w:tcPr>
            <w:tcW w:w="7371" w:type="dxa"/>
          </w:tcPr>
          <w:p w14:paraId="0D8746AE" w14:textId="58CBD262" w:rsidR="005C686E" w:rsidRPr="001416E8" w:rsidRDefault="005C686E" w:rsidP="005C686E">
            <w:pPr>
              <w:spacing w:after="0"/>
              <w:rPr>
                <w:rFonts w:asciiTheme="minorHAnsi" w:hAnsiTheme="minorHAnsi" w:cstheme="minorHAnsi"/>
                <w:b/>
                <w:sz w:val="20"/>
                <w:szCs w:val="20"/>
              </w:rPr>
            </w:pPr>
            <w:r w:rsidRPr="001416E8">
              <w:rPr>
                <w:rFonts w:asciiTheme="minorHAnsi" w:hAnsiTheme="minorHAnsi" w:cstheme="minorHAnsi"/>
                <w:b/>
                <w:sz w:val="20"/>
              </w:rPr>
              <w:t>Komputer przenośny, który będzie wykorzystywany dla potrzeb aplikacji biurowych, aplikacji edukacyjnych, aplikacji obliczeniowych, dostępu do Internetu oraz poczty elektronicznej. Komputer wykorzystywany będzie w szczególności do obsługi i pracy z aplikacjami graficznymi oraz przy obsłudze dużych plików danych.</w:t>
            </w:r>
          </w:p>
        </w:tc>
      </w:tr>
      <w:tr w:rsidR="005C686E" w:rsidRPr="00A41005" w14:paraId="722DF338" w14:textId="77777777" w:rsidTr="00322A6B">
        <w:tblPrEx>
          <w:tblCellMar>
            <w:left w:w="70" w:type="dxa"/>
            <w:right w:w="70" w:type="dxa"/>
          </w:tblCellMar>
          <w:tblLook w:val="0000" w:firstRow="0" w:lastRow="0" w:firstColumn="0" w:lastColumn="0" w:noHBand="0" w:noVBand="0"/>
        </w:tblPrEx>
        <w:trPr>
          <w:trHeight w:val="315"/>
        </w:trPr>
        <w:tc>
          <w:tcPr>
            <w:tcW w:w="1843" w:type="dxa"/>
          </w:tcPr>
          <w:p w14:paraId="79D04309" w14:textId="4761205E" w:rsidR="005C686E" w:rsidRDefault="005C686E"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Przekątna i rozdzielczość ekranu</w:t>
            </w:r>
          </w:p>
        </w:tc>
        <w:tc>
          <w:tcPr>
            <w:tcW w:w="7371" w:type="dxa"/>
          </w:tcPr>
          <w:p w14:paraId="45A8A77B" w14:textId="74238F4F" w:rsidR="005C686E" w:rsidRPr="001416E8" w:rsidRDefault="005C686E" w:rsidP="00322A6B">
            <w:pPr>
              <w:spacing w:after="0"/>
              <w:rPr>
                <w:rFonts w:asciiTheme="minorHAnsi" w:hAnsiTheme="minorHAnsi" w:cstheme="minorHAnsi"/>
                <w:b/>
                <w:sz w:val="20"/>
                <w:szCs w:val="20"/>
              </w:rPr>
            </w:pPr>
            <w:r w:rsidRPr="001416E8">
              <w:rPr>
                <w:rFonts w:asciiTheme="minorHAnsi" w:hAnsiTheme="minorHAnsi" w:cstheme="minorHAnsi"/>
                <w:b/>
                <w:sz w:val="20"/>
              </w:rPr>
              <w:t xml:space="preserve">Ekran o przekątnej 15,6" o rozdzielczości FHD WLED (1920x1080) i jasności co najmniej 250 cd/m2, matryca matowa AG. </w:t>
            </w:r>
          </w:p>
        </w:tc>
      </w:tr>
      <w:tr w:rsidR="005C686E" w:rsidRPr="00A41005" w14:paraId="4AFB2619" w14:textId="77777777" w:rsidTr="00322A6B">
        <w:tc>
          <w:tcPr>
            <w:tcW w:w="1843" w:type="dxa"/>
          </w:tcPr>
          <w:p w14:paraId="60BEE2D0"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Wydajność</w:t>
            </w:r>
          </w:p>
        </w:tc>
        <w:tc>
          <w:tcPr>
            <w:tcW w:w="7371" w:type="dxa"/>
          </w:tcPr>
          <w:p w14:paraId="16102E3D" w14:textId="26871D28"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 xml:space="preserve">Procesor klasy x86, zapewniający równoważną wydajność całego oferowanego komputera (Rating) min. 15000 pkt. w  teście Passmark CPU Mark 10 wg wyników dostępnych na stronie: </w:t>
            </w:r>
            <w:hyperlink r:id="rId11" w:history="1">
              <w:r w:rsidRPr="001416E8">
                <w:rPr>
                  <w:rStyle w:val="Hipercze"/>
                  <w:rFonts w:asciiTheme="minorHAnsi" w:hAnsiTheme="minorHAnsi" w:cstheme="minorHAnsi"/>
                  <w:b/>
                  <w:sz w:val="20"/>
                </w:rPr>
                <w:t>https://www.cpubenchmark.net/high_end_cpus.html</w:t>
              </w:r>
            </w:hyperlink>
          </w:p>
          <w:p w14:paraId="05CAAA7D" w14:textId="77777777"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Wynik aktualny na dzień publikacji postępowania.</w:t>
            </w:r>
          </w:p>
        </w:tc>
      </w:tr>
      <w:tr w:rsidR="005C686E" w:rsidRPr="00A41005" w14:paraId="3714BEE6" w14:textId="77777777" w:rsidTr="00322A6B">
        <w:tc>
          <w:tcPr>
            <w:tcW w:w="1843" w:type="dxa"/>
          </w:tcPr>
          <w:p w14:paraId="54196064" w14:textId="77777777" w:rsidR="005C686E" w:rsidRPr="00A41005" w:rsidRDefault="005C686E" w:rsidP="00BE7FD6">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Karta graficzna</w:t>
            </w:r>
          </w:p>
        </w:tc>
        <w:tc>
          <w:tcPr>
            <w:tcW w:w="7371" w:type="dxa"/>
          </w:tcPr>
          <w:p w14:paraId="28DBCA78" w14:textId="04BA2C17" w:rsidR="005C686E" w:rsidRPr="001416E8" w:rsidRDefault="005C686E" w:rsidP="00BE7FD6">
            <w:pPr>
              <w:pStyle w:val="Akapitzlist"/>
              <w:ind w:left="0"/>
              <w:rPr>
                <w:rFonts w:asciiTheme="minorHAnsi" w:hAnsiTheme="minorHAnsi" w:cstheme="minorHAnsi"/>
                <w:b/>
                <w:sz w:val="20"/>
              </w:rPr>
            </w:pPr>
            <w:r w:rsidRPr="001416E8">
              <w:rPr>
                <w:rFonts w:asciiTheme="minorHAnsi" w:hAnsiTheme="minorHAnsi" w:cstheme="minorHAnsi"/>
                <w:b/>
                <w:sz w:val="20"/>
              </w:rPr>
              <w:t xml:space="preserve">Dedykowana karta graficzna o minimalnych parametrach, osiągająca minimum 9000 </w:t>
            </w:r>
            <w:r w:rsidRPr="001416E8">
              <w:rPr>
                <w:rFonts w:asciiTheme="minorHAnsi" w:hAnsiTheme="minorHAnsi" w:cstheme="minorHAnsi"/>
                <w:b/>
                <w:sz w:val="20"/>
              </w:rPr>
              <w:lastRenderedPageBreak/>
              <w:t xml:space="preserve">punktów w teście Posmak G3D wg wyników dostępnych na stronie: </w:t>
            </w:r>
            <w:hyperlink r:id="rId12" w:history="1">
              <w:r w:rsidRPr="001416E8">
                <w:rPr>
                  <w:rStyle w:val="Hipercze"/>
                  <w:rFonts w:asciiTheme="minorHAnsi" w:hAnsiTheme="minorHAnsi" w:cstheme="minorHAnsi"/>
                  <w:b/>
                  <w:sz w:val="20"/>
                </w:rPr>
                <w:t>www.videocardbenchmark.net</w:t>
              </w:r>
            </w:hyperlink>
          </w:p>
          <w:p w14:paraId="68A257F2" w14:textId="12F338A2" w:rsidR="005C686E" w:rsidRPr="001416E8" w:rsidRDefault="005C686E" w:rsidP="00BE7FD6">
            <w:pPr>
              <w:spacing w:after="0"/>
              <w:rPr>
                <w:rFonts w:asciiTheme="minorHAnsi" w:hAnsiTheme="minorHAnsi" w:cstheme="minorHAnsi"/>
                <w:b/>
                <w:sz w:val="20"/>
                <w:szCs w:val="20"/>
              </w:rPr>
            </w:pPr>
            <w:r w:rsidRPr="001416E8">
              <w:rPr>
                <w:rFonts w:asciiTheme="minorHAnsi" w:hAnsiTheme="minorHAnsi" w:cstheme="minorHAnsi"/>
                <w:b/>
                <w:sz w:val="20"/>
                <w:szCs w:val="20"/>
              </w:rPr>
              <w:t>Wynik aktualny na dzień publikacji postępowania.</w:t>
            </w:r>
          </w:p>
        </w:tc>
      </w:tr>
      <w:tr w:rsidR="005C686E" w:rsidRPr="00A41005" w14:paraId="1F726AD6" w14:textId="77777777" w:rsidTr="00322A6B">
        <w:tc>
          <w:tcPr>
            <w:tcW w:w="1843" w:type="dxa"/>
          </w:tcPr>
          <w:p w14:paraId="1FF158C3"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lastRenderedPageBreak/>
              <w:t>Pamięć RAM</w:t>
            </w:r>
          </w:p>
        </w:tc>
        <w:tc>
          <w:tcPr>
            <w:tcW w:w="7371" w:type="dxa"/>
          </w:tcPr>
          <w:p w14:paraId="08E6F5DA" w14:textId="0646787B"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Pamięć operacyjna: 16 GB z możliwością rozbudowy do min 32 GB.</w:t>
            </w:r>
          </w:p>
        </w:tc>
      </w:tr>
      <w:tr w:rsidR="005C686E" w:rsidRPr="00A41005" w14:paraId="2456282C" w14:textId="77777777" w:rsidTr="00322A6B">
        <w:tc>
          <w:tcPr>
            <w:tcW w:w="1843" w:type="dxa"/>
          </w:tcPr>
          <w:p w14:paraId="037967E4"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Pamięć masowa</w:t>
            </w:r>
          </w:p>
        </w:tc>
        <w:tc>
          <w:tcPr>
            <w:tcW w:w="7371" w:type="dxa"/>
          </w:tcPr>
          <w:p w14:paraId="639348A1" w14:textId="080EEC18"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 xml:space="preserve">Parametry pamięci masowej: dysk SSD M.2 NVMe o pojemności min. 512 GB, </w:t>
            </w:r>
            <w:r w:rsidRPr="001416E8">
              <w:rPr>
                <w:rFonts w:asciiTheme="minorHAnsi" w:hAnsiTheme="minorHAnsi" w:cstheme="minorHAnsi"/>
                <w:b/>
                <w:bCs/>
                <w:sz w:val="20"/>
                <w:lang w:eastAsia="en-US"/>
              </w:rPr>
              <w:t>zawierający partycję RECOVERY umożliwiającą odtworzenie systemu operacyjnego fabrycznie zainstalowanego na komputerze po awarii bez dodatkowych nośników.</w:t>
            </w:r>
          </w:p>
        </w:tc>
      </w:tr>
      <w:tr w:rsidR="005C686E" w:rsidRPr="00A41005" w14:paraId="1329F70F" w14:textId="77777777" w:rsidTr="00322A6B">
        <w:tc>
          <w:tcPr>
            <w:tcW w:w="1843" w:type="dxa"/>
          </w:tcPr>
          <w:p w14:paraId="184FF81A"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Wirtualizacja</w:t>
            </w:r>
          </w:p>
        </w:tc>
        <w:tc>
          <w:tcPr>
            <w:tcW w:w="7371" w:type="dxa"/>
          </w:tcPr>
          <w:p w14:paraId="4EEDC84C" w14:textId="77777777"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Sprzętowe wsparcie technologii wirtualizacji procesorów, pamięci i urządzeń I/O realizowane łącznie w procesorze, chipsecie płyty głównej oraz w BIOS systemu (możliwość włączenia/wyłączenia sprzętowego wsparcia wirtualizacji)</w:t>
            </w:r>
          </w:p>
        </w:tc>
      </w:tr>
      <w:tr w:rsidR="005C686E" w:rsidRPr="00A41005" w14:paraId="7CB21F6D" w14:textId="77777777" w:rsidTr="00322A6B">
        <w:tc>
          <w:tcPr>
            <w:tcW w:w="1843" w:type="dxa"/>
          </w:tcPr>
          <w:p w14:paraId="4BF7C00F"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Bezpieczeństwo</w:t>
            </w:r>
          </w:p>
        </w:tc>
        <w:tc>
          <w:tcPr>
            <w:tcW w:w="7371" w:type="dxa"/>
          </w:tcPr>
          <w:p w14:paraId="7A8FCF78" w14:textId="77777777"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sz w:val="20"/>
              </w:rPr>
              <w:t>Sprzętowe wsparcie technologii weryfikacji poprawności podpisu cyfrowego wykonywanego kodu oprogramowania, oraz sprzętowa izolacja segmentów pamięci dla kodu wykonywanego w trybie zaufanym wbudowane w procesor, kontroler pamięci, chipset I/O.</w:t>
            </w:r>
          </w:p>
          <w:p w14:paraId="665F9A5F" w14:textId="77777777" w:rsidR="005C686E" w:rsidRPr="001416E8" w:rsidRDefault="005C686E" w:rsidP="00322A6B">
            <w:pPr>
              <w:pStyle w:val="Akapitzlist"/>
              <w:ind w:left="0"/>
              <w:rPr>
                <w:rFonts w:asciiTheme="minorHAnsi" w:hAnsiTheme="minorHAnsi" w:cstheme="minorHAnsi"/>
                <w:b/>
                <w:sz w:val="20"/>
              </w:rPr>
            </w:pPr>
            <w:r w:rsidRPr="001416E8">
              <w:rPr>
                <w:rFonts w:asciiTheme="minorHAnsi" w:hAnsiTheme="minorHAnsi" w:cstheme="minorHAnsi"/>
                <w:b/>
                <w:bCs/>
                <w:sz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Co najmniej zgodne z TPM 2.0.</w:t>
            </w:r>
          </w:p>
        </w:tc>
      </w:tr>
      <w:tr w:rsidR="005C686E" w:rsidRPr="00A41005" w14:paraId="4342452F" w14:textId="77777777" w:rsidTr="00322A6B">
        <w:tc>
          <w:tcPr>
            <w:tcW w:w="1843" w:type="dxa"/>
          </w:tcPr>
          <w:p w14:paraId="586C8E89"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Porty i złącza</w:t>
            </w:r>
          </w:p>
        </w:tc>
        <w:tc>
          <w:tcPr>
            <w:tcW w:w="7371" w:type="dxa"/>
          </w:tcPr>
          <w:p w14:paraId="6E31F38D" w14:textId="7B181FF6"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Min. 2</w:t>
            </w:r>
            <w:r w:rsidR="003F795F" w:rsidRPr="001416E8">
              <w:rPr>
                <w:rFonts w:asciiTheme="minorHAnsi" w:hAnsiTheme="minorHAnsi" w:cstheme="minorHAnsi"/>
                <w:b/>
                <w:sz w:val="20"/>
              </w:rPr>
              <w:t xml:space="preserve"> x </w:t>
            </w:r>
            <w:r w:rsidRPr="001416E8">
              <w:rPr>
                <w:rFonts w:asciiTheme="minorHAnsi" w:hAnsiTheme="minorHAnsi" w:cstheme="minorHAnsi"/>
                <w:b/>
                <w:sz w:val="20"/>
              </w:rPr>
              <w:t xml:space="preserve"> U</w:t>
            </w:r>
            <w:r w:rsidR="003F795F" w:rsidRPr="001416E8">
              <w:rPr>
                <w:rFonts w:asciiTheme="minorHAnsi" w:hAnsiTheme="minorHAnsi" w:cstheme="minorHAnsi"/>
                <w:b/>
                <w:sz w:val="20"/>
              </w:rPr>
              <w:t>S</w:t>
            </w:r>
            <w:r w:rsidRPr="001416E8">
              <w:rPr>
                <w:rFonts w:asciiTheme="minorHAnsi" w:hAnsiTheme="minorHAnsi" w:cstheme="minorHAnsi"/>
                <w:b/>
                <w:sz w:val="20"/>
              </w:rPr>
              <w:t>B 3</w:t>
            </w:r>
            <w:r w:rsidR="003F795F" w:rsidRPr="001416E8">
              <w:rPr>
                <w:rFonts w:asciiTheme="minorHAnsi" w:hAnsiTheme="minorHAnsi" w:cstheme="minorHAnsi"/>
                <w:b/>
                <w:sz w:val="20"/>
              </w:rPr>
              <w:t>.0</w:t>
            </w:r>
          </w:p>
          <w:p w14:paraId="351CE7FD" w14:textId="77777777"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HDMI w wersji co najmniej 1.4</w:t>
            </w:r>
          </w:p>
          <w:p w14:paraId="30FCB738" w14:textId="77777777"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Audio: port combo mikrofon/słuchawki</w:t>
            </w:r>
          </w:p>
          <w:p w14:paraId="6A0D9ECE" w14:textId="77777777"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Karta Wi-Fi 6 (802.11 a/b/g/n/ac/ax)</w:t>
            </w:r>
          </w:p>
          <w:p w14:paraId="27923F45" w14:textId="77777777"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 xml:space="preserve">Karta sieciowa LAN 10/100/1000 Ethernet RJ 45 zintegrowana z płytą główną. </w:t>
            </w:r>
          </w:p>
          <w:p w14:paraId="6DED4A24" w14:textId="77777777" w:rsidR="005C686E" w:rsidRPr="001416E8" w:rsidRDefault="005C686E" w:rsidP="00322A6B">
            <w:pPr>
              <w:pStyle w:val="Akapitzlist"/>
              <w:widowControl/>
              <w:numPr>
                <w:ilvl w:val="2"/>
                <w:numId w:val="9"/>
              </w:numPr>
              <w:suppressAutoHyphens w:val="0"/>
              <w:ind w:left="0" w:firstLine="0"/>
              <w:rPr>
                <w:rFonts w:asciiTheme="minorHAnsi" w:hAnsiTheme="minorHAnsi" w:cstheme="minorHAnsi"/>
                <w:b/>
                <w:sz w:val="20"/>
              </w:rPr>
            </w:pPr>
            <w:r w:rsidRPr="001416E8">
              <w:rPr>
                <w:rFonts w:asciiTheme="minorHAnsi" w:hAnsiTheme="minorHAnsi" w:cstheme="minorHAnsi"/>
                <w:b/>
                <w:sz w:val="20"/>
              </w:rPr>
              <w:t>Bluetooth co najmniej w standardzie v5.0,</w:t>
            </w:r>
          </w:p>
        </w:tc>
      </w:tr>
      <w:tr w:rsidR="005C686E" w:rsidRPr="00A41005" w14:paraId="206E8439" w14:textId="77777777" w:rsidTr="00322A6B">
        <w:tblPrEx>
          <w:tblCellMar>
            <w:left w:w="70" w:type="dxa"/>
            <w:right w:w="70" w:type="dxa"/>
          </w:tblCellMar>
          <w:tblLook w:val="0000" w:firstRow="0" w:lastRow="0" w:firstColumn="0" w:lastColumn="0" w:noHBand="0" w:noVBand="0"/>
        </w:tblPrEx>
        <w:trPr>
          <w:trHeight w:val="330"/>
        </w:trPr>
        <w:tc>
          <w:tcPr>
            <w:tcW w:w="1843" w:type="dxa"/>
          </w:tcPr>
          <w:p w14:paraId="6064EA86" w14:textId="77777777" w:rsidR="005C686E" w:rsidRPr="00A41005" w:rsidRDefault="005C686E" w:rsidP="00322A6B">
            <w:pPr>
              <w:ind w:left="176" w:hanging="34"/>
              <w:rPr>
                <w:rFonts w:asciiTheme="minorHAnsi" w:hAnsiTheme="minorHAnsi" w:cstheme="minorHAnsi"/>
                <w:sz w:val="20"/>
                <w:szCs w:val="20"/>
              </w:rPr>
            </w:pPr>
            <w:r w:rsidRPr="00A41005">
              <w:rPr>
                <w:rFonts w:asciiTheme="minorHAnsi" w:hAnsiTheme="minorHAnsi" w:cstheme="minorHAnsi"/>
                <w:sz w:val="20"/>
                <w:szCs w:val="20"/>
              </w:rPr>
              <w:t>Klawiatura i Mysz</w:t>
            </w:r>
          </w:p>
        </w:tc>
        <w:tc>
          <w:tcPr>
            <w:tcW w:w="7371" w:type="dxa"/>
          </w:tcPr>
          <w:p w14:paraId="1A85F757" w14:textId="35976485" w:rsidR="005C686E" w:rsidRPr="00A41005" w:rsidRDefault="005C686E" w:rsidP="00322A6B">
            <w:pPr>
              <w:suppressAutoHyphens/>
              <w:rPr>
                <w:rFonts w:asciiTheme="minorHAnsi" w:hAnsiTheme="minorHAnsi" w:cstheme="minorHAnsi"/>
                <w:sz w:val="20"/>
                <w:szCs w:val="20"/>
              </w:rPr>
            </w:pPr>
            <w:r w:rsidRPr="00A41005">
              <w:rPr>
                <w:rFonts w:asciiTheme="minorHAnsi" w:hAnsiTheme="minorHAnsi" w:cstheme="minorHAnsi"/>
                <w:sz w:val="20"/>
                <w:szCs w:val="20"/>
              </w:rPr>
              <w:t xml:space="preserve">Klawiatura QWERTY </w:t>
            </w:r>
            <w:r w:rsidR="00CF2F61">
              <w:rPr>
                <w:rFonts w:asciiTheme="minorHAnsi" w:hAnsiTheme="minorHAnsi" w:cstheme="minorHAnsi"/>
                <w:sz w:val="20"/>
                <w:szCs w:val="20"/>
              </w:rPr>
              <w:t>podświetlana z sekcją numeryczną</w:t>
            </w:r>
            <w:r w:rsidRPr="00A41005">
              <w:rPr>
                <w:rFonts w:asciiTheme="minorHAnsi" w:hAnsiTheme="minorHAnsi" w:cstheme="minorHAnsi"/>
                <w:sz w:val="20"/>
                <w:szCs w:val="20"/>
              </w:rPr>
              <w:t xml:space="preserve">. </w:t>
            </w:r>
            <w:r w:rsidR="00CF2F61">
              <w:rPr>
                <w:rFonts w:asciiTheme="minorHAnsi" w:hAnsiTheme="minorHAnsi" w:cstheme="minorHAnsi"/>
                <w:sz w:val="20"/>
                <w:szCs w:val="20"/>
              </w:rPr>
              <w:t>W zestawie dołączona m</w:t>
            </w:r>
            <w:r w:rsidRPr="00A41005">
              <w:rPr>
                <w:rFonts w:asciiTheme="minorHAnsi" w:hAnsiTheme="minorHAnsi" w:cstheme="minorHAnsi"/>
                <w:sz w:val="20"/>
                <w:szCs w:val="20"/>
              </w:rPr>
              <w:t>ysz min. 2 przyciski podłączana poprzez port USB (kablowo lub bezprzewodowo)</w:t>
            </w:r>
          </w:p>
        </w:tc>
      </w:tr>
      <w:tr w:rsidR="005C686E" w:rsidRPr="00A41005" w14:paraId="719F21E9" w14:textId="77777777" w:rsidTr="00322A6B">
        <w:tc>
          <w:tcPr>
            <w:tcW w:w="1843" w:type="dxa"/>
          </w:tcPr>
          <w:p w14:paraId="3219D3F3"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Multimedia</w:t>
            </w:r>
          </w:p>
        </w:tc>
        <w:tc>
          <w:tcPr>
            <w:tcW w:w="7371" w:type="dxa"/>
          </w:tcPr>
          <w:p w14:paraId="23E4D8E9" w14:textId="77777777" w:rsidR="005C686E" w:rsidRPr="00A41005" w:rsidRDefault="005C686E" w:rsidP="00322A6B">
            <w:pPr>
              <w:pStyle w:val="Akapitzlist"/>
              <w:ind w:left="0"/>
              <w:rPr>
                <w:rFonts w:asciiTheme="minorHAnsi" w:hAnsiTheme="minorHAnsi" w:cstheme="minorHAnsi"/>
                <w:sz w:val="20"/>
              </w:rPr>
            </w:pPr>
            <w:r w:rsidRPr="00A41005">
              <w:rPr>
                <w:rFonts w:asciiTheme="minorHAnsi" w:hAnsiTheme="minorHAnsi" w:cstheme="minorHAnsi"/>
                <w:sz w:val="20"/>
              </w:rPr>
              <w:t>Wyposażenie multimedialne: Karta dźwiękowa zintegrowana z płytą główną, zgodna z High Definition, wbudowane dwa głośniki;</w:t>
            </w:r>
          </w:p>
          <w:p w14:paraId="1D622F00" w14:textId="77777777" w:rsidR="005C686E" w:rsidRPr="00A41005" w:rsidRDefault="005C686E" w:rsidP="00322A6B">
            <w:pPr>
              <w:pStyle w:val="Akapitzlist"/>
              <w:ind w:left="0"/>
              <w:rPr>
                <w:rFonts w:asciiTheme="minorHAnsi" w:hAnsiTheme="minorHAnsi" w:cstheme="minorHAnsi"/>
                <w:sz w:val="20"/>
              </w:rPr>
            </w:pPr>
            <w:r w:rsidRPr="00A41005">
              <w:rPr>
                <w:rFonts w:asciiTheme="minorHAnsi" w:hAnsiTheme="minorHAnsi" w:cstheme="minorHAnsi"/>
                <w:sz w:val="20"/>
              </w:rPr>
              <w:t>Min. 1 cyfrowy mikrofon wbudowany w obudowie.</w:t>
            </w:r>
          </w:p>
          <w:p w14:paraId="5AB1C9FF" w14:textId="5F517B05" w:rsidR="005C686E" w:rsidRPr="00A41005" w:rsidRDefault="005C686E" w:rsidP="00322A6B">
            <w:pPr>
              <w:pStyle w:val="Akapitzlist"/>
              <w:ind w:left="0"/>
              <w:rPr>
                <w:rFonts w:asciiTheme="minorHAnsi" w:hAnsiTheme="minorHAnsi" w:cstheme="minorHAnsi"/>
                <w:sz w:val="20"/>
              </w:rPr>
            </w:pPr>
            <w:r w:rsidRPr="00A41005">
              <w:rPr>
                <w:rFonts w:asciiTheme="minorHAnsi" w:hAnsiTheme="minorHAnsi" w:cstheme="minorHAnsi"/>
                <w:sz w:val="20"/>
              </w:rPr>
              <w:t>Kamera internetowa co najmniej HD (co najmniej 720p, 30 klatek na sekundę) trwale zainstalowana w obudowie</w:t>
            </w:r>
            <w:r w:rsidR="00CF2F61">
              <w:rPr>
                <w:rFonts w:asciiTheme="minorHAnsi" w:hAnsiTheme="minorHAnsi" w:cstheme="minorHAnsi"/>
                <w:sz w:val="20"/>
              </w:rPr>
              <w:t xml:space="preserve"> wraz z zaślepką</w:t>
            </w:r>
            <w:r w:rsidRPr="00A41005">
              <w:rPr>
                <w:rFonts w:asciiTheme="minorHAnsi" w:hAnsiTheme="minorHAnsi" w:cstheme="minorHAnsi"/>
                <w:sz w:val="20"/>
              </w:rPr>
              <w:t>.</w:t>
            </w:r>
          </w:p>
        </w:tc>
      </w:tr>
      <w:tr w:rsidR="005C686E" w:rsidRPr="00A41005" w14:paraId="6619F8A4" w14:textId="77777777" w:rsidTr="00322A6B">
        <w:tc>
          <w:tcPr>
            <w:tcW w:w="1843" w:type="dxa"/>
          </w:tcPr>
          <w:p w14:paraId="00E4E587" w14:textId="77777777" w:rsidR="005C686E" w:rsidRPr="00A41005" w:rsidRDefault="005C686E" w:rsidP="00BE7FD6">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t>System operacyjny</w:t>
            </w:r>
          </w:p>
        </w:tc>
        <w:tc>
          <w:tcPr>
            <w:tcW w:w="7371" w:type="dxa"/>
          </w:tcPr>
          <w:p w14:paraId="2950CBFE" w14:textId="77777777" w:rsidR="005C686E" w:rsidRPr="00A41005" w:rsidRDefault="005C686E" w:rsidP="00BE7FD6">
            <w:pPr>
              <w:pStyle w:val="Akapitzlist"/>
              <w:ind w:left="0"/>
              <w:contextualSpacing w:val="0"/>
              <w:jc w:val="both"/>
              <w:rPr>
                <w:rFonts w:asciiTheme="minorHAnsi" w:hAnsiTheme="minorHAnsi" w:cstheme="minorHAnsi"/>
                <w:sz w:val="20"/>
              </w:rPr>
            </w:pPr>
            <w:r w:rsidRPr="00A41005">
              <w:rPr>
                <w:rFonts w:asciiTheme="minorHAnsi" w:hAnsiTheme="minorHAnsi" w:cstheme="minorHAnsi"/>
                <w:bCs/>
                <w:sz w:val="20"/>
              </w:rPr>
              <w:t xml:space="preserve">Licencja na system operacyjny Microsoft </w:t>
            </w:r>
            <w:r w:rsidRPr="00A41005">
              <w:rPr>
                <w:rFonts w:asciiTheme="minorHAnsi" w:hAnsiTheme="minorHAnsi" w:cstheme="minorHAnsi"/>
                <w:sz w:val="20"/>
              </w:rPr>
              <w:t>Windows 10 Professional. lub Microsoft Windows 11 Professional</w:t>
            </w:r>
            <w:r w:rsidRPr="00A41005">
              <w:rPr>
                <w:rFonts w:asciiTheme="minorHAnsi" w:hAnsiTheme="minorHAnsi" w:cstheme="minorHAnsi"/>
                <w:bCs/>
                <w:sz w:val="20"/>
              </w:rPr>
              <w:t xml:space="preserve">, zainstalowany system operacyjny </w:t>
            </w:r>
            <w:r w:rsidRPr="00A41005">
              <w:rPr>
                <w:rFonts w:asciiTheme="minorHAnsi" w:hAnsiTheme="minorHAnsi" w:cstheme="minorHAnsi"/>
                <w:sz w:val="20"/>
              </w:rPr>
              <w:t xml:space="preserve">Windows </w:t>
            </w:r>
            <w:r w:rsidRPr="00A41005">
              <w:rPr>
                <w:rFonts w:asciiTheme="minorHAnsi" w:hAnsiTheme="minorHAnsi" w:cstheme="minorHAnsi"/>
                <w:bCs/>
                <w:sz w:val="20"/>
              </w:rPr>
              <w:t>niewymagający ręcznej aktywacji za pomocą telefonu lub Internetu w firmie Microsoft</w:t>
            </w:r>
            <w:r w:rsidRPr="00A41005">
              <w:rPr>
                <w:rFonts w:asciiTheme="minorHAnsi" w:hAnsiTheme="minorHAnsi" w:cstheme="minorHAnsi"/>
                <w:sz w:val="20"/>
              </w:rPr>
              <w:t xml:space="preserve"> w celu zapewnienia współpracy ze środowiskiem sieciowym oraz aplikacjami funkcjonującymi w administracji państwowej lub równoważny. Za rozwiązanie równoważne uznaje się takie, które posiada wbudowane mechanizmy, bez użycia dodatkowych aplikacji (bez jakichkolwiek emulatorów, implementacji lub programów towarzyszących), zapewniające: </w:t>
            </w:r>
          </w:p>
          <w:p w14:paraId="1BAE88AC"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Polską wersję językową, Możliwość instalacji i poprawnego działania oprogramowania dostępnego w ramach posiadanych przez Zamawiającego licencji Microsoft Office 2016, możliwość pełnej integracji z systemem domenowym MS Windows Server, </w:t>
            </w:r>
          </w:p>
          <w:p w14:paraId="11BDE735"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Możliwość instalacji i poprawnego działania oprogramowania Visio, Project, ESET, QNT, Płatnik, Symfonia, eDOK aktualnie użytkowanych przez Zamawiającego .</w:t>
            </w:r>
          </w:p>
          <w:p w14:paraId="3D5BA2FD"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Poprawną obsługę drukarek, skanerów (Xerox, Minolta, Fujitsu, Avision), </w:t>
            </w:r>
          </w:p>
          <w:p w14:paraId="7F88895D"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Dostępność aktualizacji i poprawek do systemu u producenta systemu bezpłatnie i bez dodatkowych opłat licencyjnych z możliwością wyboru instalowanych poprawek, </w:t>
            </w:r>
          </w:p>
          <w:p w14:paraId="340AC399"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zdalnej, automatycznej instalacji, konfiguracji, administrowania oraz aktualizowania systemu, </w:t>
            </w:r>
          </w:p>
          <w:p w14:paraId="1BFEA684"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lastRenderedPageBreak/>
              <w:t>•</w:t>
            </w:r>
            <w:r w:rsidRPr="00A41005">
              <w:rPr>
                <w:rFonts w:asciiTheme="minorHAnsi" w:hAnsiTheme="minorHAnsi" w:cstheme="minorHAnsi"/>
                <w:sz w:val="20"/>
              </w:rPr>
              <w:tab/>
              <w:t xml:space="preserve">Możliwość automatycznego zbudowania obrazu systemu wraz z aplikacjami. Obraz systemu służyć ma do automatycznego upowszechniania systemu operacyjnego inicjowanego i wykonywanego w całości przez sieć komputerową, </w:t>
            </w:r>
          </w:p>
          <w:p w14:paraId="1346D8F1"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wdrożenia nowego obrazu przez zdalną instalację, </w:t>
            </w:r>
          </w:p>
          <w:p w14:paraId="1FFD57DD"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Graficzne środowisko instalacji i konfiguracji, </w:t>
            </w:r>
          </w:p>
          <w:p w14:paraId="5520899B"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i przejmowania pulpitu zdalnego, </w:t>
            </w:r>
          </w:p>
          <w:p w14:paraId="5C4BF4B8"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Możliwość udostępniania plików i drukarek, </w:t>
            </w:r>
          </w:p>
          <w:p w14:paraId="68F828E2"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wsparcia dla urządzeń (urządzeń sieciowych Cisco, Netgear, Edimax, standardów USB, urządzeń Plug &amp; Play), </w:t>
            </w:r>
          </w:p>
          <w:p w14:paraId="1345517A"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Wyposażenie systemu w graficzny interfejs użytkownika w języku polskim,</w:t>
            </w:r>
          </w:p>
          <w:p w14:paraId="655373F5" w14:textId="77777777" w:rsidR="005C686E" w:rsidRPr="00A41005" w:rsidRDefault="005C686E" w:rsidP="00BE7FD6">
            <w:pPr>
              <w:pStyle w:val="Akapitzlist"/>
              <w:contextualSpacing w:val="0"/>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 xml:space="preserve">Zapewnienie pełnej kompatybilności z oferowanym sprzętem.  </w:t>
            </w:r>
          </w:p>
          <w:p w14:paraId="4D947883" w14:textId="77777777" w:rsidR="005C686E" w:rsidRPr="00A41005" w:rsidRDefault="005C686E" w:rsidP="00BE7FD6">
            <w:pPr>
              <w:pStyle w:val="Akapitzlist"/>
              <w:contextualSpacing w:val="0"/>
              <w:rPr>
                <w:rFonts w:asciiTheme="minorHAnsi" w:hAnsiTheme="minorHAnsi" w:cstheme="minorHAnsi"/>
                <w:sz w:val="20"/>
              </w:rPr>
            </w:pPr>
          </w:p>
          <w:p w14:paraId="53E012C1" w14:textId="77777777" w:rsidR="005C686E" w:rsidRPr="00A41005" w:rsidRDefault="005C686E" w:rsidP="00BE7FD6">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t>Umieszczony na obudowie Certyfikat Autentyczności w postaci specjalnej naklejki zabezpieczającej lub załączone potwierdzenie producenta komputera o legalności dostarczonego oprogramowania systemowego.</w:t>
            </w:r>
          </w:p>
          <w:p w14:paraId="68462583" w14:textId="563C55CC" w:rsidR="005C686E" w:rsidRPr="00A41005" w:rsidRDefault="005C686E" w:rsidP="00BE7FD6">
            <w:pPr>
              <w:pStyle w:val="Akapitzlist"/>
              <w:ind w:left="0"/>
              <w:rPr>
                <w:rFonts w:asciiTheme="minorHAnsi" w:hAnsiTheme="minorHAnsi" w:cstheme="minorHAnsi"/>
                <w:sz w:val="20"/>
              </w:rPr>
            </w:pPr>
            <w:r w:rsidRPr="00A41005">
              <w:rPr>
                <w:rFonts w:asciiTheme="minorHAnsi" w:hAnsiTheme="minorHAnsi" w:cstheme="minorHAnsi"/>
                <w:sz w:val="20"/>
              </w:rPr>
              <w:t>Nie dopuszcza się w tym zakresie licencji pochodzących z rynku wtórnego.</w:t>
            </w:r>
          </w:p>
        </w:tc>
      </w:tr>
      <w:tr w:rsidR="005C686E" w:rsidRPr="00A41005" w14:paraId="618ACB3E" w14:textId="77777777" w:rsidTr="00322A6B">
        <w:trPr>
          <w:trHeight w:val="1305"/>
        </w:trPr>
        <w:tc>
          <w:tcPr>
            <w:tcW w:w="1843" w:type="dxa"/>
          </w:tcPr>
          <w:p w14:paraId="63821D09" w14:textId="77777777" w:rsidR="005C686E" w:rsidRPr="00A41005" w:rsidRDefault="005C686E" w:rsidP="00BE7FD6">
            <w:pPr>
              <w:spacing w:after="0" w:line="240" w:lineRule="auto"/>
              <w:rPr>
                <w:rFonts w:asciiTheme="minorHAnsi" w:hAnsiTheme="minorHAnsi" w:cstheme="minorHAnsi"/>
                <w:sz w:val="20"/>
                <w:szCs w:val="20"/>
              </w:rPr>
            </w:pPr>
            <w:r w:rsidRPr="00A41005">
              <w:rPr>
                <w:rFonts w:asciiTheme="minorHAnsi" w:hAnsiTheme="minorHAnsi" w:cstheme="minorHAnsi"/>
                <w:sz w:val="20"/>
                <w:szCs w:val="20"/>
              </w:rPr>
              <w:lastRenderedPageBreak/>
              <w:t>Oprogramowanie biurowe</w:t>
            </w:r>
          </w:p>
        </w:tc>
        <w:tc>
          <w:tcPr>
            <w:tcW w:w="7371" w:type="dxa"/>
          </w:tcPr>
          <w:p w14:paraId="2E50231A" w14:textId="77777777" w:rsidR="005C686E" w:rsidRPr="00A41005" w:rsidRDefault="005C686E" w:rsidP="00BE7FD6">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Zainstalowane oprogramowanie Microsoft Office 2021 Home &amp; Business o architekturze 64bit w polskiej wersji językowej umożliwiającej pracę w domenie. Licencja i oprogramowanie musi być nowe, nieużywane, nigdy wcześniej nieaktywowane.</w:t>
            </w:r>
          </w:p>
          <w:p w14:paraId="535F57CA" w14:textId="77777777" w:rsidR="005C686E" w:rsidRPr="00A41005" w:rsidRDefault="005C686E" w:rsidP="00BE7FD6">
            <w:pPr>
              <w:pStyle w:val="Akapitzlist"/>
              <w:ind w:left="0"/>
              <w:contextualSpacing w:val="0"/>
              <w:jc w:val="both"/>
              <w:rPr>
                <w:rFonts w:asciiTheme="minorHAnsi" w:hAnsiTheme="minorHAnsi" w:cstheme="minorHAnsi"/>
                <w:bCs/>
                <w:sz w:val="20"/>
              </w:rPr>
            </w:pPr>
          </w:p>
          <w:p w14:paraId="0BB7B4D5" w14:textId="77777777" w:rsidR="005C686E" w:rsidRPr="00A41005" w:rsidRDefault="005C686E" w:rsidP="00BE7FD6">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Zamawiający dopuszcza dostarczenie produktu równoważnego. Za produkt równoważny Zamawiający uzna produkt o cechach (parametrach) nie gorszych niż produkt Microsoft lub lepszych niż produkt określony w OPZ, przy czym:</w:t>
            </w:r>
          </w:p>
          <w:p w14:paraId="21A0F7B1" w14:textId="77777777" w:rsidR="005C686E" w:rsidRPr="00A41005" w:rsidRDefault="005C686E" w:rsidP="00BE7FD6">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Wykonawca w formularzu ofertowym winien wskazać jaki rodzaj produktów oferuje, tj. produkty Microsoft bądź produkty równoważne. W przypadku, gdy wykonawca oferuje produkty równoważne Zamawiający wymaga, aby wraz z ofertą wykonawca dołączył dokumenty potwierdzające, że oferowane przez niego produkty spełniają wymagania w zakresie równoważności, zgodnie z OPZ,</w:t>
            </w:r>
          </w:p>
          <w:p w14:paraId="374B1080" w14:textId="77777777" w:rsidR="005C686E" w:rsidRPr="00A41005" w:rsidRDefault="005C686E" w:rsidP="00BE7FD6">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Zamawiający zastrzega sobie w przypadku jakichkolwiek wątpliwości, prawo sprawdzenia pełnej zgodności warunków i zakresu równoważności oferowanych produktów równoważnych. W takim wypadku Zamawiający wezwie wykonawców do przedstawienia dodatkowych dokumentów dotyczących danego produktu w celu potwierdzenia spełnienia wymagań w zakresie równoważności oraz próbek oferowanych produktów, dla celów wykonania testów w środowiskach Zamawiającego. Sprawdzenie to będzie polegać na przeprowadzeniu testów w warunkach odzwierciedlających środowiska produkcyjne na sprzęcie Zamawiającego, z użyciem urządzeń peryferyjnych Zamawiającego, na plikach, arkuszach, bazach danych i dokumentach Zamawiającego. Testowane będą opisane w wymaganiach OPZ funkcje produktów, wobec których to funkcji Zamawiający powziął wątpliwość co do ich zgodności z wymaganiami OPZ. W tym celu wykonawca na każde wezwanie Zamawiającego, dostarczy do siedziby Zamawiającego w terminie 3 dni roboczych od daty otrzymania wezwania, po jednym egzemplarzu wskazanego produktu, wobec którego Zamawiający powziął wątpliwość co do jego zgodności z wymaganiami OPZ. W odniesieniu do tych produktów mogą zostać dostarczone licencje tymczasowe, w pełni zgodne z oferowanymi. Jednocześnie Zamawiający zastrzega sobie możliwość odwołania się do oficjalnych, publicznie dostępnych stron internetowych producenta weryfikowanego przedmiotu oferty. Nieprzedłożenie oferowanych produktów równoważnych do przetestowania w ww. terminie, zostanie potraktowane </w:t>
            </w:r>
            <w:r w:rsidRPr="00A41005">
              <w:rPr>
                <w:rFonts w:asciiTheme="minorHAnsi" w:hAnsiTheme="minorHAnsi" w:cstheme="minorHAnsi"/>
                <w:bCs/>
                <w:sz w:val="20"/>
              </w:rPr>
              <w:lastRenderedPageBreak/>
              <w:t>jako negatywny wynik sprawdzenia. Po wykonaniu testów, dostarczone do testów egzemplarze produktów będą zwrócone wykonawcy na jego pisemny wniosek,</w:t>
            </w:r>
          </w:p>
          <w:p w14:paraId="55C4D81D" w14:textId="77777777" w:rsidR="005C686E" w:rsidRPr="00A41005" w:rsidRDefault="005C686E" w:rsidP="00BE7FD6">
            <w:pPr>
              <w:pStyle w:val="Akapitzlist"/>
              <w:numPr>
                <w:ilvl w:val="0"/>
                <w:numId w:val="31"/>
              </w:numPr>
              <w:contextualSpacing w:val="0"/>
              <w:jc w:val="both"/>
              <w:rPr>
                <w:rFonts w:asciiTheme="minorHAnsi" w:hAnsiTheme="minorHAnsi" w:cstheme="minorHAnsi"/>
                <w:bCs/>
                <w:sz w:val="20"/>
              </w:rPr>
            </w:pPr>
            <w:r w:rsidRPr="00A41005">
              <w:rPr>
                <w:rFonts w:asciiTheme="minorHAnsi" w:hAnsiTheme="minorHAnsi" w:cstheme="minorHAnsi"/>
                <w:bCs/>
                <w:sz w:val="20"/>
              </w:rPr>
              <w:t>Negatywny wynik sprawdzenia oferty w zakresie równoważności oferowanych produktów, skutkować będzie odrzuceniem tej oferty;</w:t>
            </w:r>
          </w:p>
          <w:p w14:paraId="7BA3B3A9" w14:textId="77777777" w:rsidR="005C686E" w:rsidRPr="00A41005" w:rsidRDefault="005C686E" w:rsidP="00BE7FD6">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W przypadku zaoferowania przez wykonawcę produktów równoważnych, Zamawiający wymaga, aby oferowane produkty spełniały dodatkowo niżej wymienione wymagania:</w:t>
            </w:r>
          </w:p>
          <w:p w14:paraId="52306682"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równoważny produkt musi bez zakłóceń współpracować z posiadaną przez Zamawiającego infrastrukturą sprzętową oraz wykorzystywanym oprogramowaniem i systemami, do których należą: serwery, laptopy, komputery stacjonarne, urządzenia drukujące, urządzenia sieciowe, systemy Windows, oprogramowanie Microsoft (Viso, Project, Exchange 2016), środowisko wirtualizacyjne VmWare w wersji 6.x. Na wykonawcy oferującym produkty równoważne spoczywa odpowiedzialność w zakresie prawidłowego działania zaoferowanych produktów w środowisku pracy użytkowników produktów po stronie Zamawiającego,</w:t>
            </w:r>
          </w:p>
          <w:p w14:paraId="25D97CD8"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warunki i zakres usługi wsparcia producenta dla produktów równoważnych nie gorsze, niż usługa określona dla odpowiedniego produktu producenta Microsoft,</w:t>
            </w:r>
          </w:p>
          <w:p w14:paraId="2397285D"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warunki licencji w każdym aspekcie licencjonowania nie mogą być gorsze, niż dla licencji producenta Microsoft,</w:t>
            </w:r>
          </w:p>
          <w:p w14:paraId="78F42C9B"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wykazać, że funkcjonalność każdego produktu równoważnego nie jest gorsza od funkcjonalności odpowiedniego produktu producenta Microsoft,</w:t>
            </w:r>
          </w:p>
          <w:p w14:paraId="4A6038AF"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że produkty równoważne są kompatybilne i będą w sposób niezakłócony współdziałać ze sprzętem i oprogramowaniem systemowym Zamawiającego (komputery i laptopy pracujące na systemie Windows 10 Professional, urządzenia mobilne pracujące na Android 10 oraz iOS 14), oraz aplikacyjnym (Microsoft Exchange 2016, Microsoft Office 2016) i użytkowym, eksploatowanym i obsługiwanym przez Zamawiającego,</w:t>
            </w:r>
          </w:p>
          <w:p w14:paraId="686B6D82"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musi zapewnić, że warunki i zakres usługi asysty wsparcia technicznego dla produktów równoważnych nie są gorsze, niż usługi oferowane przez producenta Microsoft,</w:t>
            </w:r>
          </w:p>
          <w:p w14:paraId="7C550F8E"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pokryć koszty zmiany w zakresie produktów i rozwiązań Microsoft na produkty i rozwiązania równoważne, konieczne do właściwego działania środowiska sprzętowo-programowego Zamawiającego, o ile wystąpi taka konieczność,</w:t>
            </w:r>
          </w:p>
          <w:p w14:paraId="6642BA09"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Wykonawca zobowiązany jest przywrócić sprawne działanie infrastruktury sprzętowo-programowej Zamawiającego oraz na własny koszt dokonać niezbędnych modyfikacji przywracających właściwe działanie tego środowiska sprzętowo-programowego, również po odinstalowaniu produktu równoważnego w przypadku, gdy zaoferowane produkty równoważne nie będą właściwie współdziałać ze sprzętem i oprogramowaniem funkcjonującym u Zamawiającego,</w:t>
            </w:r>
          </w:p>
          <w:p w14:paraId="28E7EA6D" w14:textId="77777777" w:rsidR="005C686E" w:rsidRPr="00A41005" w:rsidRDefault="005C686E" w:rsidP="00BE7FD6">
            <w:pPr>
              <w:pStyle w:val="Akapitzlist"/>
              <w:numPr>
                <w:ilvl w:val="0"/>
                <w:numId w:val="32"/>
              </w:numPr>
              <w:contextualSpacing w:val="0"/>
              <w:jc w:val="both"/>
              <w:rPr>
                <w:rFonts w:asciiTheme="minorHAnsi" w:hAnsiTheme="minorHAnsi" w:cstheme="minorHAnsi"/>
                <w:bCs/>
                <w:sz w:val="20"/>
              </w:rPr>
            </w:pPr>
            <w:r w:rsidRPr="00A41005">
              <w:rPr>
                <w:rFonts w:asciiTheme="minorHAnsi" w:hAnsiTheme="minorHAnsi" w:cstheme="minorHAnsi"/>
                <w:bCs/>
                <w:sz w:val="20"/>
              </w:rPr>
              <w:t>Zamawiający ze względu na koszty ewentualnej zmiany w zakresie rozwiązań producenta Microsoft na produkty równoważne, wymaga, aby produkty równoważne pochodziły od jednego producenta i umożliwiały wykorzystanie wspólnych i jednolitych procedur masowej instalacji, uaktualniania, zarządzania i monitorowania;</w:t>
            </w:r>
          </w:p>
          <w:p w14:paraId="64191470" w14:textId="77777777" w:rsidR="005C686E" w:rsidRPr="00A41005" w:rsidRDefault="005C686E" w:rsidP="00BE7FD6">
            <w:pPr>
              <w:pStyle w:val="Akapitzlist"/>
              <w:ind w:left="0"/>
              <w:contextualSpacing w:val="0"/>
              <w:jc w:val="both"/>
              <w:rPr>
                <w:rFonts w:asciiTheme="minorHAnsi" w:hAnsiTheme="minorHAnsi" w:cstheme="minorHAnsi"/>
                <w:bCs/>
                <w:sz w:val="20"/>
              </w:rPr>
            </w:pPr>
            <w:r w:rsidRPr="00A41005">
              <w:rPr>
                <w:rFonts w:asciiTheme="minorHAnsi" w:hAnsiTheme="minorHAnsi" w:cstheme="minorHAnsi"/>
                <w:bCs/>
                <w:sz w:val="20"/>
              </w:rPr>
              <w:t>Zarządzanie produktami musi odbywać się za pośrednictwem platformy dostępnej z przeglądarki internetowej pozwalającej na:</w:t>
            </w:r>
          </w:p>
          <w:p w14:paraId="3131F969"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6539FA1F"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 xml:space="preserve">Dostępność na żądanie wyników aktualnych audytów, w tym audytów </w:t>
            </w:r>
            <w:r w:rsidRPr="00A41005">
              <w:rPr>
                <w:rFonts w:asciiTheme="minorHAnsi" w:hAnsiTheme="minorHAnsi" w:cstheme="minorHAnsi"/>
                <w:bCs/>
                <w:sz w:val="20"/>
              </w:rPr>
              <w:lastRenderedPageBreak/>
              <w:t>bezpieczeństwa,</w:t>
            </w:r>
          </w:p>
          <w:p w14:paraId="7C3D7450"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automatycznej, niewpływającej na ciągłość pracy systemu instalacji poprawek dla licencji subskrypcyjnych,</w:t>
            </w:r>
          </w:p>
          <w:p w14:paraId="5CA42755"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2085D4E7"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niezaprzeczalnego uwierzytelnienia na bazie usługi katalogowej będącej składową hostowanej usługi platformowej,</w:t>
            </w:r>
          </w:p>
          <w:p w14:paraId="49456068"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0590625B"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0F19F81B"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724FDC60"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7CC65465"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Możliwość zastrzeżenia miejsca przetwarzania/składowania danych w usłudze do terytorium krajów Europejskiego Obszaru Gospodarczego,</w:t>
            </w:r>
          </w:p>
          <w:p w14:paraId="5FA09AE7"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Zobowiązanie umowne o pozostawieniu całkowitej własności przetwarzanych/składowanych w usłudze danych po stronie Zamawiającego,</w:t>
            </w:r>
          </w:p>
          <w:p w14:paraId="2F6385A2"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usunięcia danych Zamawiającego z platformy po zakończeniu umowy,</w:t>
            </w:r>
          </w:p>
          <w:p w14:paraId="180A590B" w14:textId="77777777" w:rsidR="005C686E" w:rsidRPr="00A41005" w:rsidRDefault="005C686E" w:rsidP="00BE7FD6">
            <w:pPr>
              <w:pStyle w:val="Akapitzlist"/>
              <w:numPr>
                <w:ilvl w:val="0"/>
                <w:numId w:val="33"/>
              </w:numPr>
              <w:contextualSpacing w:val="0"/>
              <w:rPr>
                <w:rFonts w:asciiTheme="minorHAnsi" w:hAnsiTheme="minorHAnsi" w:cstheme="minorHAnsi"/>
                <w:bCs/>
                <w:sz w:val="20"/>
              </w:rPr>
            </w:pPr>
            <w:r w:rsidRPr="00A41005">
              <w:rPr>
                <w:rFonts w:asciiTheme="minorHAnsi" w:hAnsiTheme="minorHAnsi" w:cstheme="minorHAnsi"/>
                <w:bCs/>
                <w:sz w:val="20"/>
              </w:rPr>
              <w:t>Gwarancję braku dostępu do danych Zamawiającego na platformie, z wyłączeniem działań serwisowych wymagających każdorazowo zgody Zamawiającego i wykonywanych wyłącznie przez uprawnione osoby z organizacji wykonawcy platformy;</w:t>
            </w:r>
          </w:p>
          <w:p w14:paraId="6006AF85" w14:textId="77777777" w:rsidR="005C686E" w:rsidRPr="00A41005" w:rsidRDefault="005C686E" w:rsidP="00BE7FD6">
            <w:pPr>
              <w:pStyle w:val="Akapitzlist"/>
              <w:numPr>
                <w:ilvl w:val="0"/>
                <w:numId w:val="33"/>
              </w:numPr>
              <w:contextualSpacing w:val="0"/>
              <w:jc w:val="both"/>
              <w:rPr>
                <w:rFonts w:asciiTheme="minorHAnsi" w:hAnsiTheme="minorHAnsi" w:cstheme="minorHAnsi"/>
                <w:bCs/>
                <w:sz w:val="20"/>
              </w:rPr>
            </w:pPr>
            <w:r w:rsidRPr="00A41005">
              <w:rPr>
                <w:rFonts w:asciiTheme="minorHAnsi" w:hAnsiTheme="minorHAnsi" w:cstheme="minorHAnsi"/>
                <w:bCs/>
                <w:sz w:val="20"/>
              </w:rPr>
              <w:t>Subskrypcja pakietu standardowych usług hostowanych (on-line) typu COTS (Commercial Of-The- Shelf) ma uprawniać użytkowników posiadających subskrypcję do wykorzystania usług on-line - usługi zarządzania tożsamością użytkowników, portalu wewnętrznego, poczty elektronicznej, narzędzi wiadomości błyskawicznych, konferencji głosowych i video, repozytorium dokumentów, wewnętrznego serwisu społecznościowego oraz edycji dokumentów biurowych on-line (dalej Usługi).</w:t>
            </w:r>
          </w:p>
          <w:p w14:paraId="7B8867D1" w14:textId="77777777" w:rsidR="005C686E" w:rsidRPr="00A41005" w:rsidRDefault="005C686E" w:rsidP="00BE7FD6">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Wymagania dotyczące usługi hostowanej:</w:t>
            </w:r>
          </w:p>
          <w:p w14:paraId="3B03A959"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Wszystkie elementy Usługi muszą pozwalać na dostęp użytkowników na zasadzie uwierzytelnienia wykorzystującego mechanizm logowania pozwalający na autoryzację użytkowników w usłudze poprzez wbudowaną usługę zarządzania tożsamością użytkowników,</w:t>
            </w:r>
          </w:p>
          <w:p w14:paraId="16848EE1"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Wbudowana Usługa zarządzania tożsamością użytkowników musi umożliwiać realizację pojedynczego logowania (single sign-on) dla użytkowników logujących się do własnej usługi katalogowej Active Directory,</w:t>
            </w:r>
          </w:p>
          <w:p w14:paraId="766A1584"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portalu administracyjnego do zarządzania Usługą oraz zasadami grup.</w:t>
            </w:r>
          </w:p>
          <w:p w14:paraId="5EC8699A"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mechanizmy ochrony informacji z mechanizmami śledzenia wycieków informacji z poczty elektronicznej i przechowywanych plików,</w:t>
            </w:r>
          </w:p>
          <w:p w14:paraId="49883480"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Ochrona danych w systemie poczty elektronicznej przed złośliwym oprogramowaniem i wirusami oraz atakami typu zero-day,</w:t>
            </w:r>
          </w:p>
          <w:p w14:paraId="09530080"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Gwarantowana dostępność usług platformy na poziomie 99,9%,</w:t>
            </w:r>
          </w:p>
          <w:p w14:paraId="5046D47D"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Zastosowanie w platformie powszechnie uznanych i rozpowszechnionych standardów przemysłowych, pozwalających na potencjalne wykorzystanie różnych technologii i rozwiązań w ramach jednej platformy, w szczególności:</w:t>
            </w:r>
          </w:p>
          <w:p w14:paraId="48529CC5" w14:textId="77777777" w:rsidR="005C686E" w:rsidRPr="00A41005" w:rsidRDefault="005C686E" w:rsidP="00BE7FD6">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ISO 27001, ISO 27017, ISO 27018 lub równoważnych,</w:t>
            </w:r>
          </w:p>
          <w:p w14:paraId="245517D8" w14:textId="77777777" w:rsidR="005C686E" w:rsidRPr="00A41005" w:rsidRDefault="005C686E" w:rsidP="00BE7FD6">
            <w:pPr>
              <w:pStyle w:val="Akapitzlist"/>
              <w:numPr>
                <w:ilvl w:val="1"/>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lastRenderedPageBreak/>
              <w:t>SOC 2 lub 3 lub równoważnego,</w:t>
            </w:r>
          </w:p>
          <w:p w14:paraId="6F8090FB" w14:textId="77777777" w:rsidR="005C686E" w:rsidRPr="00A41005" w:rsidRDefault="005C686E" w:rsidP="00BE7FD6">
            <w:pPr>
              <w:pStyle w:val="Akapitzlist"/>
              <w:numPr>
                <w:ilvl w:val="1"/>
                <w:numId w:val="34"/>
              </w:numPr>
              <w:contextualSpacing w:val="0"/>
              <w:jc w:val="both"/>
              <w:rPr>
                <w:rFonts w:asciiTheme="minorHAnsi" w:hAnsiTheme="minorHAnsi" w:cstheme="minorHAnsi"/>
                <w:bCs/>
                <w:sz w:val="20"/>
                <w:lang w:val="en-GB"/>
              </w:rPr>
            </w:pPr>
            <w:r w:rsidRPr="00A41005">
              <w:rPr>
                <w:rFonts w:asciiTheme="minorHAnsi" w:hAnsiTheme="minorHAnsi" w:cstheme="minorHAnsi"/>
                <w:bCs/>
                <w:sz w:val="20"/>
                <w:lang w:val="en-GB"/>
              </w:rPr>
              <w:t>Open Authentication Standard – Oauth lub równoważnego,</w:t>
            </w:r>
          </w:p>
          <w:p w14:paraId="3246F362"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pełnej rozliczalności działań użytkowników w usługach platformy,</w:t>
            </w:r>
          </w:p>
          <w:p w14:paraId="66F3B65D"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na żądanie wyników aktualnych audytów, w tym audytów bezpieczeństwa, dla usług i centrów przetwarzania danych oferujących te usługi i audytów związanych z ochroną danych osobowych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w:t>
            </w:r>
          </w:p>
          <w:p w14:paraId="2EA7FDBB"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mechanizmów monitorowania zachowań użytkowników Usługi oraz prób dostępu do przetwarzanych/składowanych w Usłudze danych Zamawiającego,</w:t>
            </w:r>
          </w:p>
          <w:p w14:paraId="7DBDB0A4"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Możliwość realizacji uwierzytelnienia za pomocą modelu pojedynczego logowania (single sign-on) na bazie własnej usługi katalogowej Active Directory,</w:t>
            </w:r>
          </w:p>
          <w:p w14:paraId="712E8F3E"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223A2D8B"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Dostępność raportów odnośnie logów z urządzeń potencjalnie zainfekowanych, z sieci botnetowych,</w:t>
            </w:r>
          </w:p>
          <w:p w14:paraId="2CF1F641"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Wbudowane w platformę mechanizmy zabezpieczające przez atakami DDoS,</w:t>
            </w:r>
          </w:p>
          <w:p w14:paraId="5980DD66"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Przynajmniej dwa równorzędne ośrodki przetwarzania danych, odległe od siebie o co najmniej 100 km,</w:t>
            </w:r>
          </w:p>
          <w:p w14:paraId="3FBA7E54"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ma zostać wyłączone a dane Zamawiającego usunięte,</w:t>
            </w:r>
          </w:p>
          <w:p w14:paraId="708D220C"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Dostęp do Usługi musi być możliwy z dowolnego urządzenia klasy PC, tabletu lub telefonu wyposażonego w system operacyjny Linux, Windows lub Apple OS,</w:t>
            </w:r>
          </w:p>
          <w:p w14:paraId="716015C6"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Subskrypcja Usługi musi umożliwiać zmianę jej przypisania do innego użytkownika będącego pracownikiem Zamawiającego,</w:t>
            </w:r>
          </w:p>
          <w:p w14:paraId="0E305108"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Centra przetwarzania świadczące Usługę muszą znajdować się na terenie Europejskiego Obszaru Gospodarczego,</w:t>
            </w:r>
          </w:p>
          <w:p w14:paraId="6EA15C5F"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musi zapewniać szyfrowanie danych przesyłanych za pomocą sieci publicznych,</w:t>
            </w:r>
          </w:p>
          <w:p w14:paraId="3F6198C1"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Usługa ma zapewniać usunięcie danych Zamawiającego po zakończeniu okresu jej subskrypcji,</w:t>
            </w:r>
          </w:p>
          <w:p w14:paraId="1E2E01DA"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Zobowiązania umowne potwierdzające zgodność z RODO i podmiotu przetwarzającego w rozumieniu RODO,</w:t>
            </w:r>
          </w:p>
          <w:p w14:paraId="6609C496"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Zobowiązanie umowne o pozostawieniu całkowitej własności przetwarzanych/składowanych w usłudze danych po stronie Zamawiającego,</w:t>
            </w:r>
          </w:p>
          <w:p w14:paraId="1FC797C5"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Mechanizmy pozwalające na realizację wymagań rozliczalności i monitorowania użytkowników i usług,</w:t>
            </w:r>
          </w:p>
          <w:p w14:paraId="47161BE9" w14:textId="77777777" w:rsidR="005C686E" w:rsidRPr="00A41005" w:rsidRDefault="005C686E" w:rsidP="00BE7FD6">
            <w:pPr>
              <w:pStyle w:val="Akapitzlist"/>
              <w:numPr>
                <w:ilvl w:val="0"/>
                <w:numId w:val="34"/>
              </w:numPr>
              <w:contextualSpacing w:val="0"/>
              <w:jc w:val="both"/>
              <w:rPr>
                <w:rFonts w:asciiTheme="minorHAnsi" w:hAnsiTheme="minorHAnsi" w:cstheme="minorHAnsi"/>
                <w:bCs/>
                <w:sz w:val="20"/>
              </w:rPr>
            </w:pPr>
            <w:r w:rsidRPr="00A41005">
              <w:rPr>
                <w:rFonts w:asciiTheme="minorHAnsi" w:hAnsiTheme="minorHAnsi" w:cstheme="minorHAnsi"/>
                <w:bCs/>
                <w:sz w:val="20"/>
              </w:rPr>
              <w:t xml:space="preserve">Gwarancja braku dostępu do danych Zamawiającego na platformie, z wyłączeniem działań serwisowych wymagających każdorazowo zgody </w:t>
            </w:r>
            <w:r w:rsidRPr="00A41005">
              <w:rPr>
                <w:rFonts w:asciiTheme="minorHAnsi" w:hAnsiTheme="minorHAnsi" w:cstheme="minorHAnsi"/>
                <w:bCs/>
                <w:sz w:val="20"/>
              </w:rPr>
              <w:lastRenderedPageBreak/>
              <w:t>Zamawiającego i wykonywanych wyłącznie przez uprawnione osoby z organizacji dostawcy platformy;</w:t>
            </w:r>
          </w:p>
          <w:p w14:paraId="36398E17" w14:textId="77777777" w:rsidR="005C686E" w:rsidRPr="00A41005" w:rsidRDefault="005C686E" w:rsidP="00BE7FD6">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spełniać następujące wymagania:</w:t>
            </w:r>
          </w:p>
          <w:p w14:paraId="590CD70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Usługa musi umożliwiać:</w:t>
            </w:r>
          </w:p>
          <w:p w14:paraId="5CA21D1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obsługę poczty elektronicznej,</w:t>
            </w:r>
          </w:p>
          <w:p w14:paraId="52436E6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czasem,</w:t>
            </w:r>
          </w:p>
          <w:p w14:paraId="7FF0085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zasobami,</w:t>
            </w:r>
          </w:p>
          <w:p w14:paraId="367DBD8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kontaktami i komunikacją,</w:t>
            </w:r>
          </w:p>
          <w:p w14:paraId="10DD246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Usługa musi dostarczać kompleksową funkcjonalność zdefiniowaną w opisie oraz narzędzia administracyjne:</w:t>
            </w:r>
          </w:p>
          <w:p w14:paraId="0EC9A7D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Zarządzania użytkownikami poczty,</w:t>
            </w:r>
          </w:p>
          <w:p w14:paraId="693957BE"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migracji z innych systemów poczty,</w:t>
            </w:r>
          </w:p>
          <w:p w14:paraId="57E8166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zakładania kont użytkowników na podstawie profili własnych usług katalogowych,</w:t>
            </w:r>
          </w:p>
          <w:p w14:paraId="7DB022FD"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Wsparcia integracji własnej usługi katalogowej (Active Directory) z usługą hostowana poczty,</w:t>
            </w:r>
          </w:p>
          <w:p w14:paraId="693B3F3D"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Dostęp do usługi hostowanej systemu pocztowego musi być możliwy przy pomocy:</w:t>
            </w:r>
          </w:p>
          <w:p w14:paraId="20F606C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Posiadanego oprogramowania Outlook 2016,</w:t>
            </w:r>
          </w:p>
          <w:p w14:paraId="196E4D7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Przeglądarki (Web Access),</w:t>
            </w:r>
          </w:p>
          <w:p w14:paraId="379FAEC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Urządzeń mobilnych,</w:t>
            </w:r>
          </w:p>
          <w:p w14:paraId="040086C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Wymagane cechy usługi to:</w:t>
            </w:r>
          </w:p>
          <w:p w14:paraId="234001A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Skrzynki pocztowe dla każdego użytkownika o pojemności minimum 30 GB,</w:t>
            </w:r>
          </w:p>
          <w:p w14:paraId="698CFAD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Standardowy i łatwy sposób obsługi poczty elektronicznej,</w:t>
            </w:r>
          </w:p>
          <w:p w14:paraId="60804F1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najnowszych funkcji Outlook 2016, w tym tryb konwersacji, czy znajdowanie wolnych zasobów w kalendarzach, porównywanie i nakładanie kalendarzy, zaawansowane wyszukiwanie i filtrowanie wiadomości, wsparcie dla Internet Explorer, Firefox i Safari,</w:t>
            </w:r>
          </w:p>
          <w:p w14:paraId="356713A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4E69AF8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Bezpieczny dostęp z każdego miejsca, w którym jest dostępny Internet.</w:t>
            </w:r>
          </w:p>
          <w:p w14:paraId="477FC148" w14:textId="77777777" w:rsidR="005C686E" w:rsidRPr="00A41005" w:rsidRDefault="005C686E" w:rsidP="00BE7FD6">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Usługa poczty elektronicznej on-line musi się opierać o serwery poczty elektronicznej charakteryzujące się następującymi cechami, bez konieczności użycia rozwiązań firm trzecich:</w:t>
            </w:r>
          </w:p>
          <w:p w14:paraId="0B26CEE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Funkcjonalność podstawowa:</w:t>
            </w:r>
          </w:p>
          <w:p w14:paraId="6ADD7040"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Odbieranie i wysyłanie poczty elektronicznej do adresatów wewnętrznych oraz zewnętrznych,</w:t>
            </w:r>
          </w:p>
          <w:p w14:paraId="4C2847C0"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Mechanizmy powiadomień o dostarczeniu i przeczytaniu wiadomości przez adresata,</w:t>
            </w:r>
          </w:p>
          <w:p w14:paraId="40557E5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osobistymi kalendarzami, listami kontaktów, zadaniami, notatkami,</w:t>
            </w:r>
          </w:p>
          <w:p w14:paraId="2ADDD26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1ADCEB9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Wsparcie dla zastosowania podpisu cyfrowego i szyfrowania wiadomości,</w:t>
            </w:r>
          </w:p>
          <w:p w14:paraId="2845FE1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Funkcjonalność wspierająca pracę grupową:</w:t>
            </w:r>
          </w:p>
          <w:p w14:paraId="20312E6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przypisania różnych akcji dla adresata wysyłanej wiadomości, np. do wykonania czy do przeczytania w określonym terminie,</w:t>
            </w:r>
          </w:p>
          <w:p w14:paraId="19CD861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określenia terminu wygaśnięcia wiadomości,</w:t>
            </w:r>
          </w:p>
          <w:p w14:paraId="7C9E49C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lastRenderedPageBreak/>
              <w:t>•</w:t>
            </w:r>
            <w:r w:rsidRPr="00A41005">
              <w:rPr>
                <w:rFonts w:asciiTheme="minorHAnsi" w:hAnsiTheme="minorHAnsi" w:cstheme="minorHAnsi"/>
                <w:bCs/>
                <w:sz w:val="20"/>
              </w:rPr>
              <w:tab/>
              <w:t>Udostępnianie kalendarzy osobistych do wglądu i edycji innym użytkownikom, z możliwością definiowania poziomów dostępu,</w:t>
            </w:r>
          </w:p>
          <w:p w14:paraId="5F80D87D"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Podgląd stanu dostępności innych użytkowników w oparciu o ich kalendarze,</w:t>
            </w:r>
          </w:p>
          <w:p w14:paraId="6CFE300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6E84E5E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Mechanizm prostego delegowania zadań do innych pracowników, wraz ze śledzeniem statusu ich wykonania,</w:t>
            </w:r>
          </w:p>
          <w:p w14:paraId="7B75218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i zarządzanie współdzielonymi repozytoriami kontaktów, kalendarzy, zadań,</w:t>
            </w:r>
          </w:p>
          <w:p w14:paraId="57949BC0"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list i grup dystrybucyjnych,</w:t>
            </w:r>
          </w:p>
          <w:p w14:paraId="7B27EEE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ze skrzynki do poczty elektronicznej, poczty głosowej, wiadomości błyskawicznych,</w:t>
            </w:r>
          </w:p>
          <w:p w14:paraId="4604680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informowania zewnętrznych partnerów biznesowych o dostępności lub niedostępności, co umożliwia szybkie i wygodne ustalanie harmonogramu,</w:t>
            </w:r>
          </w:p>
          <w:p w14:paraId="3217042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wyboru poziomu szczegółowości udostępnianych informacji o dostępności,</w:t>
            </w:r>
          </w:p>
          <w:p w14:paraId="3806DD1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Widok rozmowy, który ułatwia nawigację w skrzynce odbiorczej, automatycznie organizując wątki wiadomości w oparciu o przebieg rozmowy między stronami,</w:t>
            </w:r>
          </w:p>
          <w:p w14:paraId="7A5D0A3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5E5E66D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Transkrypcja tekstowa wiadomości głosowej, pozwalająca użytkownikom na szybkie priorytetyzowanie wiadomości bez potrzeby odsłuchiwania pliku dźwiękowego,</w:t>
            </w:r>
          </w:p>
          <w:p w14:paraId="669BB45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Dostęp do całej skrzynki odbiorczej - w tym poczty elektronicznej, kalendarza i listy kontaktów - z poziomu urządzeń mobilnych,</w:t>
            </w:r>
          </w:p>
          <w:p w14:paraId="7E62924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Udostępnienie użytkownikom możliwości aktualizacji danych kontaktowych i śledzenia odbierania wiadomości e-mail.</w:t>
            </w:r>
          </w:p>
          <w:p w14:paraId="269350E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Funkcjonalność wspierająca zarządzanie informacją w systemie pocztowym:</w:t>
            </w:r>
          </w:p>
          <w:p w14:paraId="7C93083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Centralne zarządzanie cyklem życia informacji przechowywanych w systemie pocztowym, w tym śledzenie i rejestrowanie ich przepływu, wygaszanie po zdefiniowanym okresie czasu, archiwizacja,</w:t>
            </w:r>
          </w:p>
          <w:p w14:paraId="2FAF8B4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Definiowanie kwot na rozmiar skrzynek pocztowych użytkowników, z możliwością ustawiania progu ostrzegawczego poniżej górnego limitu,</w:t>
            </w:r>
          </w:p>
          <w:p w14:paraId="7C7E5C4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definiowania różnych limitów dla różnych grup użytkowników,</w:t>
            </w:r>
          </w:p>
          <w:p w14:paraId="16A7394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284D543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przeniesienia lokalnych archiwów skrzynki pocztowej z komputera na serwer, co pozwala na wydajne zarządzanie i ujawnianie prawne,</w:t>
            </w:r>
          </w:p>
          <w:p w14:paraId="39A4089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 xml:space="preserve">Możliwość łatwiejszej klasyfikacji wiadomości e-mail dzięki </w:t>
            </w:r>
            <w:r w:rsidRPr="00A41005">
              <w:rPr>
                <w:rFonts w:asciiTheme="minorHAnsi" w:hAnsiTheme="minorHAnsi" w:cstheme="minorHAnsi"/>
                <w:bCs/>
                <w:sz w:val="20"/>
              </w:rPr>
              <w:lastRenderedPageBreak/>
              <w:t>definiowanym centralnie zasadom zachowywania, które można zastosować do poszczególnych wiadomości lub folderów,</w:t>
            </w:r>
          </w:p>
          <w:p w14:paraId="64EA371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w:t>
            </w:r>
          </w:p>
          <w:p w14:paraId="0850239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łatwego w użyciu interfejsu internetowego w celu wykonywania często spotykanych zadań związanych z pomocą techniczną.</w:t>
            </w:r>
          </w:p>
          <w:p w14:paraId="0572B84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Wsparcie dla użytkowników mobilnych:</w:t>
            </w:r>
          </w:p>
          <w:p w14:paraId="1D13E31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pracy off-line przy słabej łączności z serwerem lub jej całkowitym braku, z pełnym dostępem do danych przechowywanych w skrzynce pocztowej oraz z zachowaniem podstawowej funkcjonalności systemu opisanej w ust. 3 pkt 6) lit. a),</w:t>
            </w:r>
          </w:p>
          <w:p w14:paraId="1EFADF4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przełączanie się aplikacji klienckiej pomiędzy trybem on- line i off-line w zależności od stanu połączenia z serwerem,</w:t>
            </w:r>
          </w:p>
          <w:p w14:paraId="1953F03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„lekkiej” synchronizacji aplikacji klienckiej z serwerem w przypadku słabego łącza (tylko nagłówki wiadomości, tylko wiadomości poniżej określonego rozmiaru itp.),</w:t>
            </w:r>
          </w:p>
          <w:p w14:paraId="443471B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korzystania z usług systemu pocztowego w podstawowym zakresie przy pomocy urządzeń mobilnych typu PDA, SmartPhone,</w:t>
            </w:r>
          </w:p>
          <w:p w14:paraId="2AFC12C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2368980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Umożliwienie - w przypadku korzystania z systemu pocztowego przez interfejs przeglądarkowy - podglądu typowych załączników (dokumenty PDF, MS Office) w postaci stron HTML, bez potrzeby posiadania na stacji użytkownika odpowiedniej aplikacji klienckiej,</w:t>
            </w:r>
          </w:p>
          <w:p w14:paraId="7E9D58E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Obsługa interfejsu dostępu do poczty w takich przeglądarkach, jak Internet Explorer, Apple Safari i Mozilla Firefox;</w:t>
            </w:r>
          </w:p>
          <w:p w14:paraId="75686244" w14:textId="77777777" w:rsidR="005C686E" w:rsidRPr="00A41005" w:rsidRDefault="005C686E" w:rsidP="00BE7FD6">
            <w:pPr>
              <w:spacing w:after="0" w:line="240" w:lineRule="auto"/>
              <w:rPr>
                <w:rFonts w:asciiTheme="minorHAnsi" w:hAnsiTheme="minorHAnsi" w:cstheme="minorHAnsi"/>
                <w:bCs/>
                <w:sz w:val="20"/>
                <w:szCs w:val="20"/>
              </w:rPr>
            </w:pPr>
            <w:r w:rsidRPr="00A41005">
              <w:rPr>
                <w:rFonts w:asciiTheme="minorHAnsi" w:hAnsiTheme="minorHAnsi" w:cstheme="minorHAnsi"/>
                <w:bCs/>
                <w:sz w:val="20"/>
                <w:szCs w:val="20"/>
              </w:rPr>
              <w:t>Pakiet biurowy instalowany na komputerach wyposażonych w system Windows musi spełniać następujące wymagania:</w:t>
            </w:r>
          </w:p>
          <w:p w14:paraId="408ECE81"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a)</w:t>
            </w:r>
            <w:r w:rsidRPr="00A41005">
              <w:rPr>
                <w:rFonts w:asciiTheme="minorHAnsi" w:hAnsiTheme="minorHAnsi" w:cstheme="minorHAnsi"/>
                <w:bCs/>
                <w:sz w:val="20"/>
              </w:rPr>
              <w:tab/>
              <w:t>Wymagania odnośnie interfejsu użytkownika:</w:t>
            </w:r>
          </w:p>
          <w:p w14:paraId="4194F1D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polska wersja językowa interfejsu użytkownika.</w:t>
            </w:r>
          </w:p>
          <w:p w14:paraId="0A0DDFA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b)</w:t>
            </w:r>
            <w:r w:rsidRPr="00A41005">
              <w:rPr>
                <w:rFonts w:asciiTheme="minorHAnsi" w:hAnsiTheme="minorHAnsi" w:cstheme="minorHAnsi"/>
                <w:bCs/>
                <w:sz w:val="20"/>
              </w:rPr>
              <w:tab/>
              <w:t>Oprogramowanie musi umożliwiać tworzenie i edycję dokumentów elektronicznych w ustalonym formacie, który spełnia następujące warunki:</w:t>
            </w:r>
          </w:p>
          <w:p w14:paraId="5149E5C1"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posiada kompletny i publicznie dostępny opis formatu,</w:t>
            </w:r>
          </w:p>
          <w:p w14:paraId="1B00000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ma zdefiniowany układ informacji w postaci XML zgodnie z Tabelą B1 załącznika 2 Rozporządzenia Rady Ministrów z dnia 12 kwietnia 2012 r. w sprawie Krajowych Ram Interoperacyjności, minimalnych wymagań dla rejestrów publicznych i wymiany informacji w postaci elektronicznej oraz minimalnych wymagań dla systemów teleinformatycznych (Dz.U.z 2017 r. poz. 2247),</w:t>
            </w:r>
          </w:p>
          <w:p w14:paraId="6A0D90A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c)</w:t>
            </w:r>
            <w:r w:rsidRPr="00A41005">
              <w:rPr>
                <w:rFonts w:asciiTheme="minorHAnsi" w:hAnsiTheme="minorHAnsi" w:cstheme="minorHAnsi"/>
                <w:bCs/>
                <w:sz w:val="20"/>
              </w:rPr>
              <w:tab/>
              <w:t>Pakiet biurowy musi zawierać:</w:t>
            </w:r>
          </w:p>
          <w:p w14:paraId="2573A33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Edytor tekstów,</w:t>
            </w:r>
          </w:p>
          <w:p w14:paraId="604996E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Arkusz kalkulacyjny,</w:t>
            </w:r>
          </w:p>
          <w:p w14:paraId="022EE38E"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Narzędzie do przygotowywania i prowadzenia prezentacji,</w:t>
            </w:r>
          </w:p>
          <w:p w14:paraId="5BDC649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Narzędzie do tworzenia notatek przy pomocy klawiatury lub notatek odręcznych,</w:t>
            </w:r>
          </w:p>
          <w:p w14:paraId="310B38C4"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d)</w:t>
            </w:r>
            <w:r w:rsidRPr="00A41005">
              <w:rPr>
                <w:rFonts w:asciiTheme="minorHAnsi" w:hAnsiTheme="minorHAnsi" w:cstheme="minorHAnsi"/>
                <w:bCs/>
                <w:sz w:val="20"/>
              </w:rPr>
              <w:tab/>
              <w:t>Edytor tekstów musi umożliwiać:</w:t>
            </w:r>
          </w:p>
          <w:p w14:paraId="168D8E1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Edycję i formatowanie tekstu w języku polskim wraz z obsługą języka polskiego w zakresie sprawdzania pisowni i poprawności gramatycznej oraz funkcjonalnością słownika wyrazów bliskoznacznych i autokorekty,</w:t>
            </w:r>
          </w:p>
          <w:p w14:paraId="4F9209B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oraz formatowanie tabel,</w:t>
            </w:r>
          </w:p>
          <w:p w14:paraId="308B6BC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lastRenderedPageBreak/>
              <w:t>•</w:t>
            </w:r>
            <w:r w:rsidRPr="00A41005">
              <w:rPr>
                <w:rFonts w:asciiTheme="minorHAnsi" w:hAnsiTheme="minorHAnsi" w:cstheme="minorHAnsi"/>
                <w:bCs/>
                <w:sz w:val="20"/>
              </w:rPr>
              <w:tab/>
              <w:t>Wstawianie oraz formatowanie obiektów graficznych,</w:t>
            </w:r>
          </w:p>
          <w:p w14:paraId="6FB270E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Wstawianie wykresów i tabel z arkusza kalkulacyjnego,</w:t>
            </w:r>
          </w:p>
          <w:p w14:paraId="2BA2564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numerowanie rozdziałów, punktów, akapitów, tabel i rysunków,</w:t>
            </w:r>
          </w:p>
          <w:p w14:paraId="0DD51ED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Automatyczne tworzenie spisów treści,</w:t>
            </w:r>
          </w:p>
          <w:p w14:paraId="440CDC4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nagłówków i stopek stron,</w:t>
            </w:r>
          </w:p>
          <w:p w14:paraId="3C6C204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Sprawdzanie pisowni w języku polskim,</w:t>
            </w:r>
          </w:p>
          <w:p w14:paraId="1B20423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Śledzenie zmian wprowadzonych przez użytkowników,</w:t>
            </w:r>
          </w:p>
          <w:p w14:paraId="3F99888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Określenie układu strony (pionowa/pozioma),</w:t>
            </w:r>
          </w:p>
          <w:p w14:paraId="0016AA1D"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Wydruk dokumentów,</w:t>
            </w:r>
          </w:p>
          <w:p w14:paraId="0088C79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Pracę na dokumentach utworzonych przy pomocy Microsoft Word 2010 i 2016 z zapewnieniem konwersji wszystkich elementów i atrybutów dokumentu,</w:t>
            </w:r>
          </w:p>
          <w:p w14:paraId="1A5CE5E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Zabezpieczenie dokumentów hasłem przed odczytem oraz przed wprowadzaniem modyfikacji,</w:t>
            </w:r>
          </w:p>
          <w:p w14:paraId="78EBFF4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e)</w:t>
            </w:r>
            <w:r w:rsidRPr="00A41005">
              <w:rPr>
                <w:rFonts w:asciiTheme="minorHAnsi" w:hAnsiTheme="minorHAnsi" w:cstheme="minorHAnsi"/>
                <w:bCs/>
                <w:sz w:val="20"/>
              </w:rPr>
              <w:tab/>
              <w:t>Arkusz kalkulacyjny musi umożliwiać:</w:t>
            </w:r>
          </w:p>
          <w:p w14:paraId="10AD82E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raportów tabelarycznych,</w:t>
            </w:r>
          </w:p>
          <w:p w14:paraId="6B839F0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wykresów liniowych (wraz z linią trendu), słupkowych, kołowych,</w:t>
            </w:r>
          </w:p>
          <w:p w14:paraId="3378917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Tworzenie arkuszy kalkulacyjnych zawierających teksty, dane liczbowe oraz formuły przeprowadzające operacje matematyczne, logiczne, tekstowe, statystyczne oraz operacje na danych finansowych i na miarach czasu,</w:t>
            </w:r>
          </w:p>
          <w:p w14:paraId="3371EF8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Wyszukiwanie i zamianę danych,</w:t>
            </w:r>
          </w:p>
          <w:p w14:paraId="34FEF1B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Wykonywanie analiz danych przy użyciu formatowania warunkowego,</w:t>
            </w:r>
          </w:p>
          <w:p w14:paraId="338B29D5"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Nazywanie komórek arkusza i odwoływanie się w formułach po takiej nazwie,</w:t>
            </w:r>
          </w:p>
          <w:p w14:paraId="7CD0A6FE"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Formatowanie czasu, daty i wartości finansowych z polskim formatem,</w:t>
            </w:r>
          </w:p>
          <w:p w14:paraId="6BA35D93"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 wielu arkuszy kalkulacyjnych w jednym pliku,</w:t>
            </w:r>
          </w:p>
          <w:p w14:paraId="7549C19E"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Zachowanie zgodności z formatami plików utworzonych za pomocą oprogramowania Microsoft Excel 2010 i 2016, z uwzględnieniem poprawnej realizacji użytych w nich funkcji specjalnych i makropoleceń,</w:t>
            </w:r>
          </w:p>
          <w:p w14:paraId="2995B5EC"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Zabezpieczenie dokumentów hasłem przed odczytem oraz przed wprowadzaniem modyfikacji,</w:t>
            </w:r>
          </w:p>
          <w:p w14:paraId="6F70EB62"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f)</w:t>
            </w:r>
            <w:r w:rsidRPr="00A41005">
              <w:rPr>
                <w:rFonts w:asciiTheme="minorHAnsi" w:hAnsiTheme="minorHAnsi" w:cstheme="minorHAnsi"/>
                <w:bCs/>
                <w:sz w:val="20"/>
              </w:rPr>
              <w:tab/>
              <w:t>Narzędzie do przygotowywania i prowadzenia prezentacji musi umożliwiać:</w:t>
            </w:r>
          </w:p>
          <w:p w14:paraId="5A0307D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Przygotowywanie prezentacji multimedialnych, które będą:</w:t>
            </w:r>
          </w:p>
          <w:p w14:paraId="415072AF"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Prezentowanie przy użyciu projektora multimedialnego,</w:t>
            </w:r>
          </w:p>
          <w:p w14:paraId="464C8A87"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Drukowanie w formacie umożliwiającym robienie notatek,</w:t>
            </w:r>
          </w:p>
          <w:p w14:paraId="016B268D"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Zapisanie jako prezentacja tylko do odczytu,</w:t>
            </w:r>
          </w:p>
          <w:p w14:paraId="06B2A9F8"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Nagrywanie narracji i dołączanie jej do prezentacji,</w:t>
            </w:r>
          </w:p>
          <w:p w14:paraId="0F2F522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Opatrywanie slajdów notatkami dla prezentera,</w:t>
            </w:r>
          </w:p>
          <w:p w14:paraId="256F9D51"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i formatowanie tekstów, obiektów graficznych, tabel, nagrań dźwiękowych i wideo,</w:t>
            </w:r>
          </w:p>
          <w:p w14:paraId="45F2E0E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Umieszczanie tabel i wykresów pochodzących z arkusza kalkulacyjnego,</w:t>
            </w:r>
          </w:p>
          <w:p w14:paraId="11AB40D9"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Odświeżenie wykresu znajdującego się w prezentacji po zmianie danych w źródłowym arkuszu kalkulacyjnym,</w:t>
            </w:r>
          </w:p>
          <w:p w14:paraId="71E379BB"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Możliwość tworzenia animacji obiektów i całych slajdów,</w:t>
            </w:r>
          </w:p>
          <w:p w14:paraId="3EC1DDEA"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Prowadzenie prezentacji w trybie prezentera, gdzie slajdy są widoczne na jednym monitorze lub projektorze, a na drugim widoczne są slajdy i notatki prezentera,</w:t>
            </w:r>
          </w:p>
          <w:p w14:paraId="2E6B31E6" w14:textId="77777777" w:rsidR="005C686E" w:rsidRPr="00A41005" w:rsidRDefault="005C686E" w:rsidP="00BE7FD6">
            <w:pPr>
              <w:pStyle w:val="Akapitzlist"/>
              <w:contextualSpacing w:val="0"/>
              <w:rPr>
                <w:rFonts w:asciiTheme="minorHAnsi" w:hAnsiTheme="minorHAnsi" w:cstheme="minorHAnsi"/>
                <w:bCs/>
                <w:sz w:val="20"/>
              </w:rPr>
            </w:pPr>
            <w:r w:rsidRPr="00A41005">
              <w:rPr>
                <w:rFonts w:asciiTheme="minorHAnsi" w:hAnsiTheme="minorHAnsi" w:cstheme="minorHAnsi"/>
                <w:bCs/>
                <w:sz w:val="20"/>
              </w:rPr>
              <w:t>•</w:t>
            </w:r>
            <w:r w:rsidRPr="00A41005">
              <w:rPr>
                <w:rFonts w:asciiTheme="minorHAnsi" w:hAnsiTheme="minorHAnsi" w:cstheme="minorHAnsi"/>
                <w:bCs/>
                <w:sz w:val="20"/>
              </w:rPr>
              <w:tab/>
              <w:t>Pełna zgodność z formatami plików utworzonych za pomocą oprogramowania MS PowerPoint 2010, 2013 i 2016.</w:t>
            </w:r>
          </w:p>
          <w:p w14:paraId="616620DD" w14:textId="77777777" w:rsidR="005C686E" w:rsidRPr="00A41005" w:rsidRDefault="005C686E" w:rsidP="00BE7FD6">
            <w:pPr>
              <w:pStyle w:val="Akapitzlist"/>
              <w:ind w:left="0"/>
              <w:contextualSpacing w:val="0"/>
              <w:rPr>
                <w:rFonts w:asciiTheme="minorHAnsi" w:hAnsiTheme="minorHAnsi" w:cstheme="minorHAnsi"/>
                <w:bCs/>
                <w:sz w:val="20"/>
              </w:rPr>
            </w:pPr>
            <w:r w:rsidRPr="00A41005">
              <w:rPr>
                <w:rFonts w:asciiTheme="minorHAnsi" w:hAnsiTheme="minorHAnsi" w:cstheme="minorHAnsi"/>
                <w:bCs/>
                <w:sz w:val="20"/>
              </w:rPr>
              <w:t xml:space="preserve">W przypadku zapewnienia usługi równoważnej konieczne będzie powierzenie Wykonawcy przetwarzania danych osobowych w zakresie narzędzi zapewniających </w:t>
            </w:r>
            <w:r w:rsidRPr="00A41005">
              <w:rPr>
                <w:rFonts w:asciiTheme="minorHAnsi" w:hAnsiTheme="minorHAnsi" w:cstheme="minorHAnsi"/>
                <w:bCs/>
                <w:sz w:val="20"/>
              </w:rPr>
              <w:lastRenderedPageBreak/>
              <w:t>przechowywanie i dostęp do takich danych.</w:t>
            </w:r>
          </w:p>
          <w:p w14:paraId="11A0D151" w14:textId="33B47DF0" w:rsidR="005C686E" w:rsidRPr="00A41005" w:rsidRDefault="005C686E" w:rsidP="00BE7FD6">
            <w:pPr>
              <w:pStyle w:val="Akapitzlist"/>
              <w:ind w:left="0"/>
              <w:contextualSpacing w:val="0"/>
              <w:rPr>
                <w:rFonts w:asciiTheme="minorHAnsi" w:hAnsiTheme="minorHAnsi" w:cstheme="minorHAnsi"/>
                <w:sz w:val="20"/>
              </w:rPr>
            </w:pPr>
          </w:p>
        </w:tc>
      </w:tr>
      <w:tr w:rsidR="005C686E" w:rsidRPr="00A41005" w14:paraId="1CFDF00D" w14:textId="77777777" w:rsidTr="00322A6B">
        <w:trPr>
          <w:trHeight w:val="1305"/>
        </w:trPr>
        <w:tc>
          <w:tcPr>
            <w:tcW w:w="1843" w:type="dxa"/>
          </w:tcPr>
          <w:p w14:paraId="0D64A005" w14:textId="77777777" w:rsidR="005C686E" w:rsidRPr="00A41005" w:rsidRDefault="005C686E" w:rsidP="00322A6B">
            <w:pPr>
              <w:spacing w:after="0" w:line="240" w:lineRule="auto"/>
              <w:ind w:left="176" w:hanging="34"/>
              <w:rPr>
                <w:rFonts w:asciiTheme="minorHAnsi" w:hAnsiTheme="minorHAnsi" w:cstheme="minorHAnsi"/>
                <w:sz w:val="20"/>
                <w:szCs w:val="20"/>
              </w:rPr>
            </w:pPr>
            <w:r w:rsidRPr="00A41005">
              <w:rPr>
                <w:rFonts w:asciiTheme="minorHAnsi" w:hAnsiTheme="minorHAnsi" w:cstheme="minorHAnsi"/>
                <w:sz w:val="20"/>
                <w:szCs w:val="20"/>
              </w:rPr>
              <w:lastRenderedPageBreak/>
              <w:t>Gwarancja</w:t>
            </w:r>
          </w:p>
        </w:tc>
        <w:tc>
          <w:tcPr>
            <w:tcW w:w="7371" w:type="dxa"/>
          </w:tcPr>
          <w:p w14:paraId="685B9DA1" w14:textId="77777777" w:rsidR="005C686E" w:rsidRPr="00A41005" w:rsidRDefault="005C686E" w:rsidP="00322A6B">
            <w:pPr>
              <w:pStyle w:val="Akapitzlist"/>
              <w:ind w:left="0"/>
              <w:rPr>
                <w:rFonts w:asciiTheme="minorHAnsi" w:hAnsiTheme="minorHAnsi" w:cstheme="minorHAnsi"/>
                <w:sz w:val="20"/>
              </w:rPr>
            </w:pPr>
            <w:r w:rsidRPr="00A41005">
              <w:rPr>
                <w:rFonts w:asciiTheme="minorHAnsi" w:hAnsiTheme="minorHAnsi" w:cstheme="minorHAnsi"/>
                <w:sz w:val="20"/>
              </w:rPr>
              <w:t>Gwarancji jakości producenta:</w:t>
            </w:r>
          </w:p>
          <w:p w14:paraId="1DBB2413" w14:textId="75C18230" w:rsidR="005C686E" w:rsidRPr="00A41005" w:rsidRDefault="005C686E" w:rsidP="00322A6B">
            <w:pPr>
              <w:pStyle w:val="Akapitzlist"/>
              <w:widowControl/>
              <w:numPr>
                <w:ilvl w:val="1"/>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Na okres co najmniej  24 miesięcy - świadczonej  w siedzibie Zamawiającego,</w:t>
            </w:r>
          </w:p>
          <w:p w14:paraId="2F63A6AC" w14:textId="484426DE" w:rsidR="005C686E" w:rsidRPr="00A41005" w:rsidRDefault="005C686E" w:rsidP="00322A6B">
            <w:pPr>
              <w:pStyle w:val="Akapitzlist"/>
              <w:widowControl/>
              <w:numPr>
                <w:ilvl w:val="1"/>
                <w:numId w:val="9"/>
              </w:numPr>
              <w:suppressAutoHyphens w:val="0"/>
              <w:ind w:left="0" w:firstLine="0"/>
              <w:rPr>
                <w:rFonts w:asciiTheme="minorHAnsi" w:hAnsiTheme="minorHAnsi" w:cstheme="minorHAnsi"/>
                <w:sz w:val="20"/>
              </w:rPr>
            </w:pPr>
            <w:r w:rsidRPr="00A41005">
              <w:rPr>
                <w:rFonts w:asciiTheme="minorHAnsi" w:hAnsiTheme="minorHAnsi" w:cstheme="minorHAnsi"/>
                <w:sz w:val="20"/>
              </w:rPr>
              <w:t>Zgłoszenia serwisowe drogą online (formularz online producenta) , telefonicznie oraz mailem</w:t>
            </w:r>
          </w:p>
        </w:tc>
      </w:tr>
    </w:tbl>
    <w:p w14:paraId="55C21F32" w14:textId="33C023A3" w:rsidR="00B97B66" w:rsidRDefault="00B97B66" w:rsidP="002C6536">
      <w:pPr>
        <w:pStyle w:val="Default"/>
        <w:spacing w:line="276" w:lineRule="auto"/>
        <w:jc w:val="both"/>
        <w:rPr>
          <w:rFonts w:ascii="Calibri" w:hAnsi="Calibri"/>
          <w:sz w:val="22"/>
          <w:szCs w:val="22"/>
        </w:rPr>
      </w:pPr>
    </w:p>
    <w:p w14:paraId="5ADC3A42" w14:textId="77777777" w:rsidR="00A41005" w:rsidRDefault="00A41005" w:rsidP="002C6536">
      <w:pPr>
        <w:pStyle w:val="Default"/>
        <w:spacing w:line="276" w:lineRule="auto"/>
        <w:jc w:val="both"/>
        <w:rPr>
          <w:rFonts w:ascii="Calibri" w:hAnsi="Calibri"/>
          <w:sz w:val="22"/>
          <w:szCs w:val="22"/>
        </w:rPr>
      </w:pPr>
    </w:p>
    <w:p w14:paraId="1A033642" w14:textId="7568D7FF" w:rsidR="00B91D19" w:rsidRDefault="001F3031" w:rsidP="001B5DA2">
      <w:pPr>
        <w:pStyle w:val="Akapitzlist"/>
        <w:numPr>
          <w:ilvl w:val="0"/>
          <w:numId w:val="27"/>
        </w:numPr>
        <w:jc w:val="both"/>
        <w:rPr>
          <w:rFonts w:asciiTheme="minorHAnsi" w:hAnsiTheme="minorHAnsi" w:cstheme="minorHAnsi"/>
          <w:b/>
          <w:bCs/>
          <w:szCs w:val="24"/>
        </w:rPr>
      </w:pPr>
      <w:r>
        <w:rPr>
          <w:rFonts w:asciiTheme="minorHAnsi" w:hAnsiTheme="minorHAnsi" w:cstheme="minorHAnsi"/>
          <w:b/>
          <w:bCs/>
          <w:szCs w:val="24"/>
        </w:rPr>
        <w:t>Stacja dokująca dla dysków HDD z możliwością klonowania – 1 szt</w:t>
      </w:r>
      <w:r w:rsidR="00B54378">
        <w:rPr>
          <w:rFonts w:asciiTheme="minorHAnsi" w:hAnsiTheme="minorHAnsi" w:cstheme="minorHAnsi"/>
          <w:b/>
          <w:bCs/>
          <w:szCs w:val="24"/>
        </w:rPr>
        <w:t>uka</w:t>
      </w:r>
    </w:p>
    <w:p w14:paraId="52334F5E" w14:textId="77777777" w:rsidR="00A41005" w:rsidRPr="00A41005" w:rsidRDefault="00A41005" w:rsidP="00A41005">
      <w:pPr>
        <w:jc w:val="both"/>
        <w:rPr>
          <w:rFonts w:asciiTheme="minorHAnsi" w:hAnsiTheme="minorHAnsi" w:cstheme="minorHAnsi"/>
          <w:b/>
          <w:bCs/>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229"/>
      </w:tblGrid>
      <w:tr w:rsidR="0056629B" w:rsidRPr="0056629B" w14:paraId="0F9CA3C9" w14:textId="77777777" w:rsidTr="00C30FF7">
        <w:trPr>
          <w:trHeight w:val="699"/>
        </w:trPr>
        <w:tc>
          <w:tcPr>
            <w:tcW w:w="1985" w:type="dxa"/>
          </w:tcPr>
          <w:p w14:paraId="54A32F63" w14:textId="77777777" w:rsidR="0056629B" w:rsidRPr="0056629B" w:rsidRDefault="0056629B" w:rsidP="00776660">
            <w:pPr>
              <w:spacing w:after="0" w:line="240" w:lineRule="auto"/>
              <w:rPr>
                <w:rFonts w:asciiTheme="minorHAnsi" w:hAnsiTheme="minorHAnsi" w:cstheme="minorHAnsi"/>
                <w:sz w:val="20"/>
                <w:szCs w:val="20"/>
              </w:rPr>
            </w:pPr>
            <w:r w:rsidRPr="0056629B">
              <w:rPr>
                <w:rFonts w:asciiTheme="minorHAnsi" w:hAnsiTheme="minorHAnsi" w:cstheme="minorHAnsi"/>
                <w:sz w:val="20"/>
                <w:szCs w:val="20"/>
              </w:rPr>
              <w:t>Zastosowanie</w:t>
            </w:r>
          </w:p>
        </w:tc>
        <w:tc>
          <w:tcPr>
            <w:tcW w:w="7229" w:type="dxa"/>
          </w:tcPr>
          <w:p w14:paraId="135DC6B4" w14:textId="5995B24F" w:rsidR="0056629B" w:rsidRPr="0056629B" w:rsidRDefault="005F24E2" w:rsidP="00776660">
            <w:pPr>
              <w:pStyle w:val="Akapitzlist"/>
              <w:ind w:left="0"/>
              <w:rPr>
                <w:rFonts w:asciiTheme="minorHAnsi" w:hAnsiTheme="minorHAnsi" w:cstheme="minorHAnsi"/>
                <w:sz w:val="20"/>
              </w:rPr>
            </w:pPr>
            <w:r>
              <w:rPr>
                <w:rFonts w:asciiTheme="minorHAnsi" w:hAnsiTheme="minorHAnsi" w:cstheme="minorHAnsi"/>
                <w:sz w:val="20"/>
              </w:rPr>
              <w:t>Stacja dokująca dla dysków twardych z możliwością klonowania offline.</w:t>
            </w:r>
          </w:p>
        </w:tc>
      </w:tr>
      <w:tr w:rsidR="0056629B" w:rsidRPr="0056629B" w14:paraId="12ACFA12" w14:textId="77777777" w:rsidTr="00C30FF7">
        <w:tc>
          <w:tcPr>
            <w:tcW w:w="1985" w:type="dxa"/>
          </w:tcPr>
          <w:p w14:paraId="074418EF" w14:textId="7F531E08" w:rsidR="0056629B" w:rsidRPr="0056629B" w:rsidRDefault="005F24E2" w:rsidP="00776660">
            <w:pPr>
              <w:spacing w:after="0" w:line="240" w:lineRule="auto"/>
              <w:rPr>
                <w:rFonts w:asciiTheme="minorHAnsi" w:hAnsiTheme="minorHAnsi" w:cstheme="minorHAnsi"/>
                <w:sz w:val="20"/>
                <w:szCs w:val="20"/>
              </w:rPr>
            </w:pPr>
            <w:r>
              <w:rPr>
                <w:rFonts w:asciiTheme="minorHAnsi" w:hAnsiTheme="minorHAnsi" w:cstheme="minorHAnsi"/>
                <w:sz w:val="20"/>
                <w:szCs w:val="20"/>
              </w:rPr>
              <w:t>Obudowa</w:t>
            </w:r>
          </w:p>
        </w:tc>
        <w:tc>
          <w:tcPr>
            <w:tcW w:w="7229" w:type="dxa"/>
            <w:shd w:val="clear" w:color="auto" w:fill="auto"/>
          </w:tcPr>
          <w:p w14:paraId="5A7D442B" w14:textId="1C5B2844" w:rsidR="0056629B" w:rsidRPr="0056629B" w:rsidRDefault="005F24E2" w:rsidP="00776660">
            <w:pPr>
              <w:pStyle w:val="Akapitzlist"/>
              <w:ind w:left="0"/>
              <w:rPr>
                <w:rFonts w:asciiTheme="minorHAnsi" w:hAnsiTheme="minorHAnsi" w:cstheme="minorHAnsi"/>
                <w:sz w:val="20"/>
              </w:rPr>
            </w:pPr>
            <w:r>
              <w:rPr>
                <w:rFonts w:asciiTheme="minorHAnsi" w:hAnsiTheme="minorHAnsi" w:cstheme="minorHAnsi"/>
                <w:sz w:val="20"/>
              </w:rPr>
              <w:t>Metalowa</w:t>
            </w:r>
          </w:p>
        </w:tc>
      </w:tr>
      <w:tr w:rsidR="0056629B" w:rsidRPr="0056629B" w14:paraId="56DCC577" w14:textId="77777777" w:rsidTr="00C30FF7">
        <w:tc>
          <w:tcPr>
            <w:tcW w:w="1985" w:type="dxa"/>
          </w:tcPr>
          <w:p w14:paraId="11022CDB" w14:textId="464EDA28" w:rsidR="0056629B" w:rsidRPr="0056629B" w:rsidRDefault="005F24E2" w:rsidP="00776660">
            <w:pPr>
              <w:spacing w:after="0" w:line="240" w:lineRule="auto"/>
              <w:rPr>
                <w:rFonts w:asciiTheme="minorHAnsi" w:hAnsiTheme="minorHAnsi" w:cstheme="minorHAnsi"/>
                <w:sz w:val="20"/>
                <w:szCs w:val="20"/>
              </w:rPr>
            </w:pPr>
            <w:r>
              <w:rPr>
                <w:rFonts w:asciiTheme="minorHAnsi" w:hAnsiTheme="minorHAnsi" w:cstheme="minorHAnsi"/>
                <w:sz w:val="20"/>
                <w:szCs w:val="20"/>
              </w:rPr>
              <w:t>Liczba portów dla dysków</w:t>
            </w:r>
          </w:p>
        </w:tc>
        <w:tc>
          <w:tcPr>
            <w:tcW w:w="7229" w:type="dxa"/>
          </w:tcPr>
          <w:p w14:paraId="03EDDA4F" w14:textId="2AA456B3" w:rsidR="0056629B" w:rsidRPr="0056629B" w:rsidRDefault="005F24E2" w:rsidP="00776660">
            <w:pPr>
              <w:pStyle w:val="Akapitzlist"/>
              <w:ind w:left="0"/>
              <w:rPr>
                <w:rFonts w:asciiTheme="minorHAnsi" w:hAnsiTheme="minorHAnsi" w:cstheme="minorHAnsi"/>
                <w:sz w:val="20"/>
              </w:rPr>
            </w:pPr>
            <w:r>
              <w:rPr>
                <w:rFonts w:asciiTheme="minorHAnsi" w:hAnsiTheme="minorHAnsi" w:cstheme="minorHAnsi"/>
                <w:sz w:val="20"/>
              </w:rPr>
              <w:t>2 dla dysków SATA ,dostosowane do dysków o wielkości 2,5 i 3,5 cala</w:t>
            </w:r>
          </w:p>
        </w:tc>
      </w:tr>
      <w:tr w:rsidR="0056629B" w:rsidRPr="0056629B" w14:paraId="498DE9B2" w14:textId="77777777" w:rsidTr="00C30FF7">
        <w:tc>
          <w:tcPr>
            <w:tcW w:w="1985" w:type="dxa"/>
          </w:tcPr>
          <w:p w14:paraId="6E904BFB" w14:textId="0380182C" w:rsidR="0056629B" w:rsidRPr="0056629B" w:rsidRDefault="005F24E2" w:rsidP="00776660">
            <w:pPr>
              <w:spacing w:after="0" w:line="240" w:lineRule="auto"/>
              <w:rPr>
                <w:rFonts w:asciiTheme="minorHAnsi" w:hAnsiTheme="minorHAnsi" w:cstheme="minorHAnsi"/>
                <w:sz w:val="20"/>
                <w:szCs w:val="20"/>
              </w:rPr>
            </w:pPr>
            <w:r>
              <w:rPr>
                <w:rFonts w:asciiTheme="minorHAnsi" w:hAnsiTheme="minorHAnsi" w:cstheme="minorHAnsi"/>
                <w:sz w:val="20"/>
                <w:szCs w:val="20"/>
              </w:rPr>
              <w:t>Port</w:t>
            </w:r>
          </w:p>
        </w:tc>
        <w:tc>
          <w:tcPr>
            <w:tcW w:w="7229" w:type="dxa"/>
          </w:tcPr>
          <w:p w14:paraId="30BFCFA6" w14:textId="503B1049" w:rsidR="0056629B" w:rsidRPr="0056629B" w:rsidRDefault="005F24E2" w:rsidP="00776660">
            <w:pPr>
              <w:pStyle w:val="Akapitzlist"/>
              <w:ind w:left="0"/>
              <w:rPr>
                <w:rFonts w:asciiTheme="minorHAnsi" w:hAnsiTheme="minorHAnsi" w:cstheme="minorHAnsi"/>
                <w:sz w:val="20"/>
              </w:rPr>
            </w:pPr>
            <w:r w:rsidRPr="005F24E2">
              <w:rPr>
                <w:rFonts w:asciiTheme="minorHAnsi" w:hAnsiTheme="minorHAnsi" w:cstheme="minorHAnsi"/>
                <w:sz w:val="20"/>
              </w:rPr>
              <w:t>USB-C 3.2 Gen 2 (3.1/3.1 Gen 2)</w:t>
            </w:r>
          </w:p>
        </w:tc>
      </w:tr>
      <w:tr w:rsidR="0056629B" w:rsidRPr="0056629B" w14:paraId="41005BFF" w14:textId="77777777" w:rsidTr="00C30FF7">
        <w:tc>
          <w:tcPr>
            <w:tcW w:w="1985" w:type="dxa"/>
          </w:tcPr>
          <w:p w14:paraId="644B3C0F" w14:textId="42A37F20" w:rsidR="0056629B" w:rsidRPr="0056629B" w:rsidRDefault="005F24E2" w:rsidP="00776660">
            <w:pPr>
              <w:spacing w:after="0" w:line="240" w:lineRule="auto"/>
              <w:rPr>
                <w:rFonts w:asciiTheme="minorHAnsi" w:hAnsiTheme="minorHAnsi" w:cstheme="minorHAnsi"/>
                <w:sz w:val="20"/>
                <w:szCs w:val="20"/>
              </w:rPr>
            </w:pPr>
            <w:r>
              <w:rPr>
                <w:rFonts w:asciiTheme="minorHAnsi" w:hAnsiTheme="minorHAnsi" w:cstheme="minorHAnsi"/>
                <w:sz w:val="20"/>
                <w:szCs w:val="20"/>
              </w:rPr>
              <w:t>Inne</w:t>
            </w:r>
          </w:p>
        </w:tc>
        <w:tc>
          <w:tcPr>
            <w:tcW w:w="7229" w:type="dxa"/>
          </w:tcPr>
          <w:p w14:paraId="354C08F5" w14:textId="323FEAE6" w:rsidR="0056629B" w:rsidRPr="0056629B" w:rsidRDefault="005F24E2" w:rsidP="00776660">
            <w:pPr>
              <w:pStyle w:val="Akapitzlist"/>
              <w:ind w:left="0"/>
              <w:rPr>
                <w:rFonts w:asciiTheme="minorHAnsi" w:hAnsiTheme="minorHAnsi" w:cstheme="minorHAnsi"/>
                <w:sz w:val="20"/>
              </w:rPr>
            </w:pPr>
            <w:r w:rsidRPr="005F24E2">
              <w:rPr>
                <w:rFonts w:asciiTheme="minorHAnsi" w:hAnsiTheme="minorHAnsi" w:cstheme="minorHAnsi"/>
                <w:sz w:val="20"/>
              </w:rPr>
              <w:t xml:space="preserve">Klonowanie dysków bez </w:t>
            </w:r>
            <w:r>
              <w:rPr>
                <w:rFonts w:asciiTheme="minorHAnsi" w:hAnsiTheme="minorHAnsi" w:cstheme="minorHAnsi"/>
                <w:sz w:val="20"/>
              </w:rPr>
              <w:t>podłączenia</w:t>
            </w:r>
            <w:r w:rsidRPr="005F24E2">
              <w:rPr>
                <w:rFonts w:asciiTheme="minorHAnsi" w:hAnsiTheme="minorHAnsi" w:cstheme="minorHAnsi"/>
                <w:sz w:val="20"/>
              </w:rPr>
              <w:t xml:space="preserve"> do komputera</w:t>
            </w:r>
          </w:p>
        </w:tc>
      </w:tr>
      <w:tr w:rsidR="0056629B" w:rsidRPr="0056629B" w14:paraId="25FC3678" w14:textId="77777777" w:rsidTr="00C30FF7">
        <w:trPr>
          <w:trHeight w:val="381"/>
        </w:trPr>
        <w:tc>
          <w:tcPr>
            <w:tcW w:w="1985" w:type="dxa"/>
          </w:tcPr>
          <w:p w14:paraId="09D519F5" w14:textId="77777777" w:rsidR="0056629B" w:rsidRPr="0056629B" w:rsidRDefault="0056629B" w:rsidP="00776660">
            <w:pPr>
              <w:spacing w:after="0" w:line="240" w:lineRule="auto"/>
              <w:rPr>
                <w:rFonts w:asciiTheme="minorHAnsi" w:hAnsiTheme="minorHAnsi" w:cstheme="minorHAnsi"/>
                <w:sz w:val="20"/>
                <w:szCs w:val="20"/>
              </w:rPr>
            </w:pPr>
            <w:r w:rsidRPr="0056629B">
              <w:rPr>
                <w:rFonts w:asciiTheme="minorHAnsi" w:hAnsiTheme="minorHAnsi" w:cstheme="minorHAnsi"/>
                <w:sz w:val="20"/>
                <w:szCs w:val="20"/>
              </w:rPr>
              <w:t>Gwarancja</w:t>
            </w:r>
          </w:p>
        </w:tc>
        <w:tc>
          <w:tcPr>
            <w:tcW w:w="7229" w:type="dxa"/>
          </w:tcPr>
          <w:p w14:paraId="734B2CA2" w14:textId="733B1583" w:rsidR="0056629B" w:rsidRPr="005F24E2" w:rsidRDefault="00C30FF7" w:rsidP="005F24E2">
            <w:pPr>
              <w:rPr>
                <w:rFonts w:asciiTheme="minorHAnsi" w:hAnsiTheme="minorHAnsi" w:cstheme="minorHAnsi"/>
                <w:sz w:val="20"/>
              </w:rPr>
            </w:pPr>
            <w:r>
              <w:rPr>
                <w:rFonts w:asciiTheme="minorHAnsi" w:eastAsia="Times New Roman" w:hAnsiTheme="minorHAnsi" w:cstheme="minorHAnsi"/>
                <w:sz w:val="20"/>
              </w:rPr>
              <w:t>24 miesięcy</w:t>
            </w:r>
            <w:r w:rsidRPr="00C30FF7">
              <w:rPr>
                <w:rFonts w:asciiTheme="minorHAnsi" w:eastAsia="Times New Roman" w:hAnsiTheme="minorHAnsi" w:cstheme="minorHAnsi"/>
                <w:sz w:val="20"/>
              </w:rPr>
              <w:t xml:space="preserve"> gwarancji realizowanej w systemie on-site.</w:t>
            </w:r>
          </w:p>
        </w:tc>
      </w:tr>
    </w:tbl>
    <w:p w14:paraId="4673CF52" w14:textId="7B637053" w:rsidR="0056629B" w:rsidRDefault="0056629B" w:rsidP="00296C16">
      <w:pPr>
        <w:spacing w:after="0" w:line="240" w:lineRule="auto"/>
        <w:jc w:val="both"/>
        <w:rPr>
          <w:rFonts w:cs="Calibri"/>
          <w:sz w:val="24"/>
          <w:szCs w:val="24"/>
        </w:rPr>
      </w:pPr>
    </w:p>
    <w:p w14:paraId="30D92228" w14:textId="77777777" w:rsidR="00A41005" w:rsidRDefault="00A41005" w:rsidP="00296C16">
      <w:pPr>
        <w:spacing w:after="0" w:line="240" w:lineRule="auto"/>
        <w:jc w:val="both"/>
        <w:rPr>
          <w:rFonts w:cs="Calibri"/>
          <w:sz w:val="24"/>
          <w:szCs w:val="24"/>
        </w:rPr>
      </w:pPr>
    </w:p>
    <w:p w14:paraId="4E37B8E3" w14:textId="4A28C4B1" w:rsidR="00943D67" w:rsidRDefault="001F3031" w:rsidP="00A41005">
      <w:pPr>
        <w:pStyle w:val="Akapitzlist"/>
        <w:numPr>
          <w:ilvl w:val="0"/>
          <w:numId w:val="27"/>
        </w:numPr>
        <w:jc w:val="both"/>
        <w:rPr>
          <w:rFonts w:asciiTheme="minorHAnsi" w:hAnsiTheme="minorHAnsi" w:cstheme="minorHAnsi"/>
          <w:b/>
          <w:bCs/>
          <w:szCs w:val="24"/>
        </w:rPr>
      </w:pPr>
      <w:r w:rsidRPr="00A41005">
        <w:rPr>
          <w:rFonts w:asciiTheme="minorHAnsi" w:hAnsiTheme="minorHAnsi" w:cstheme="minorHAnsi"/>
          <w:b/>
          <w:bCs/>
          <w:szCs w:val="24"/>
        </w:rPr>
        <w:t>Dyski do backupu danych – 4 sztuki</w:t>
      </w:r>
    </w:p>
    <w:p w14:paraId="190E9CD6" w14:textId="77777777" w:rsidR="00A41005" w:rsidRPr="00A41005" w:rsidRDefault="00A41005" w:rsidP="00A41005">
      <w:pPr>
        <w:jc w:val="both"/>
        <w:rPr>
          <w:rFonts w:asciiTheme="minorHAnsi" w:hAnsiTheme="minorHAnsi" w:cstheme="minorHAnsi"/>
          <w:b/>
          <w:bCs/>
          <w:szCs w:val="24"/>
        </w:rPr>
      </w:pPr>
    </w:p>
    <w:tbl>
      <w:tblPr>
        <w:tblStyle w:val="Tabela-Siatka"/>
        <w:tblW w:w="5000" w:type="pct"/>
        <w:tblInd w:w="0" w:type="dxa"/>
        <w:tblLook w:val="04A0" w:firstRow="1" w:lastRow="0" w:firstColumn="1" w:lastColumn="0" w:noHBand="0" w:noVBand="1"/>
      </w:tblPr>
      <w:tblGrid>
        <w:gridCol w:w="2195"/>
        <w:gridCol w:w="7091"/>
      </w:tblGrid>
      <w:tr w:rsidR="00C30FF7" w:rsidRPr="00C30FF7" w14:paraId="698CB79F" w14:textId="77777777" w:rsidTr="00C30FF7">
        <w:trPr>
          <w:trHeight w:val="302"/>
        </w:trPr>
        <w:tc>
          <w:tcPr>
            <w:tcW w:w="1184" w:type="pct"/>
            <w:tcBorders>
              <w:top w:val="single" w:sz="4" w:space="0" w:color="auto"/>
              <w:left w:val="single" w:sz="4" w:space="0" w:color="auto"/>
              <w:bottom w:val="single" w:sz="4" w:space="0" w:color="auto"/>
              <w:right w:val="single" w:sz="4" w:space="0" w:color="auto"/>
            </w:tcBorders>
            <w:noWrap/>
            <w:vAlign w:val="center"/>
          </w:tcPr>
          <w:p w14:paraId="380311A3" w14:textId="19DDD129" w:rsidR="00C30FF7" w:rsidRPr="00C30FF7" w:rsidRDefault="00C30FF7" w:rsidP="00901AFF">
            <w:pPr>
              <w:spacing w:after="0"/>
              <w:rPr>
                <w:rFonts w:asciiTheme="minorHAnsi" w:eastAsia="Times New Roman" w:hAnsiTheme="minorHAnsi" w:cstheme="minorHAnsi"/>
                <w:sz w:val="20"/>
                <w:szCs w:val="20"/>
                <w:lang w:eastAsia="pl-PL"/>
              </w:rPr>
            </w:pPr>
            <w:r w:rsidRPr="00C30FF7">
              <w:rPr>
                <w:rFonts w:asciiTheme="minorHAnsi" w:eastAsia="Times New Roman" w:hAnsiTheme="minorHAnsi" w:cstheme="minorHAnsi"/>
                <w:sz w:val="20"/>
                <w:szCs w:val="20"/>
                <w:lang w:eastAsia="pl-PL"/>
              </w:rPr>
              <w:t xml:space="preserve">Nośniki danych serwera NAS </w:t>
            </w:r>
          </w:p>
        </w:tc>
        <w:tc>
          <w:tcPr>
            <w:tcW w:w="3816" w:type="pct"/>
            <w:tcBorders>
              <w:top w:val="single" w:sz="4" w:space="0" w:color="auto"/>
              <w:left w:val="single" w:sz="4" w:space="0" w:color="auto"/>
              <w:bottom w:val="single" w:sz="4" w:space="0" w:color="auto"/>
              <w:right w:val="single" w:sz="4" w:space="0" w:color="auto"/>
            </w:tcBorders>
            <w:noWrap/>
            <w:vAlign w:val="center"/>
          </w:tcPr>
          <w:p w14:paraId="68C85C60" w14:textId="3CB54471" w:rsidR="00C30FF7" w:rsidRPr="00C30FF7" w:rsidRDefault="00C30FF7" w:rsidP="00901AFF">
            <w:pPr>
              <w:pStyle w:val="Akapitzlist"/>
              <w:ind w:left="0"/>
              <w:rPr>
                <w:rFonts w:asciiTheme="minorHAnsi" w:eastAsia="Times New Roman" w:hAnsiTheme="minorHAnsi" w:cstheme="minorHAnsi"/>
                <w:sz w:val="20"/>
              </w:rPr>
            </w:pPr>
            <w:r w:rsidRPr="00C30FF7">
              <w:rPr>
                <w:rFonts w:asciiTheme="minorHAnsi" w:eastAsia="Times New Roman" w:hAnsiTheme="minorHAnsi" w:cstheme="minorHAnsi"/>
                <w:sz w:val="20"/>
              </w:rPr>
              <w:t>HDD SATA/600 o pojemności 8TB każdy, 256MB pamięci cache, 7200 RPM, zgodność z system NAS.</w:t>
            </w:r>
          </w:p>
        </w:tc>
      </w:tr>
      <w:tr w:rsidR="00C30FF7" w:rsidRPr="00C30FF7" w14:paraId="7CE2D785" w14:textId="77777777" w:rsidTr="00C30FF7">
        <w:trPr>
          <w:trHeight w:val="302"/>
        </w:trPr>
        <w:tc>
          <w:tcPr>
            <w:tcW w:w="1184" w:type="pct"/>
            <w:noWrap/>
          </w:tcPr>
          <w:p w14:paraId="566D4C6A" w14:textId="77777777" w:rsidR="00C30FF7" w:rsidRPr="00C30FF7" w:rsidRDefault="00C30FF7" w:rsidP="00901AFF">
            <w:pPr>
              <w:spacing w:after="0"/>
              <w:rPr>
                <w:rFonts w:asciiTheme="minorHAnsi" w:eastAsia="Times New Roman" w:hAnsiTheme="minorHAnsi" w:cstheme="minorHAnsi"/>
                <w:sz w:val="20"/>
                <w:szCs w:val="20"/>
                <w:lang w:eastAsia="pl-PL"/>
              </w:rPr>
            </w:pPr>
            <w:r w:rsidRPr="00C30FF7">
              <w:rPr>
                <w:rFonts w:asciiTheme="minorHAnsi" w:eastAsia="Times New Roman" w:hAnsiTheme="minorHAnsi" w:cstheme="minorHAnsi"/>
                <w:sz w:val="20"/>
                <w:szCs w:val="20"/>
                <w:lang w:eastAsia="pl-PL"/>
              </w:rPr>
              <w:t>Gwarancja</w:t>
            </w:r>
          </w:p>
        </w:tc>
        <w:tc>
          <w:tcPr>
            <w:tcW w:w="3816" w:type="pct"/>
            <w:noWrap/>
          </w:tcPr>
          <w:p w14:paraId="3A196FCD" w14:textId="7585B12A" w:rsidR="00C30FF7" w:rsidRPr="00C30FF7" w:rsidRDefault="00C30FF7" w:rsidP="00901AFF">
            <w:pPr>
              <w:pStyle w:val="Akapitzlist"/>
              <w:ind w:left="0"/>
              <w:rPr>
                <w:rFonts w:asciiTheme="minorHAnsi" w:eastAsia="Times New Roman" w:hAnsiTheme="minorHAnsi" w:cstheme="minorHAnsi"/>
                <w:sz w:val="20"/>
              </w:rPr>
            </w:pPr>
            <w:r>
              <w:rPr>
                <w:rFonts w:asciiTheme="minorHAnsi" w:eastAsia="Times New Roman" w:hAnsiTheme="minorHAnsi" w:cstheme="minorHAnsi"/>
                <w:sz w:val="20"/>
              </w:rPr>
              <w:t>24 miesięcy</w:t>
            </w:r>
            <w:r w:rsidRPr="00C30FF7">
              <w:rPr>
                <w:rFonts w:asciiTheme="minorHAnsi" w:eastAsia="Times New Roman" w:hAnsiTheme="minorHAnsi" w:cstheme="minorHAnsi"/>
                <w:sz w:val="20"/>
              </w:rPr>
              <w:t xml:space="preserve"> gwarancji realizowanej w systemie on-site.</w:t>
            </w:r>
          </w:p>
        </w:tc>
      </w:tr>
    </w:tbl>
    <w:p w14:paraId="719F4DDB" w14:textId="62BAB18C" w:rsidR="00EF3D65" w:rsidRDefault="00EF3D65" w:rsidP="00296C16">
      <w:pPr>
        <w:spacing w:after="0" w:line="240" w:lineRule="auto"/>
        <w:jc w:val="both"/>
        <w:rPr>
          <w:rFonts w:cs="Calibri"/>
          <w:sz w:val="20"/>
          <w:szCs w:val="20"/>
        </w:rPr>
      </w:pPr>
    </w:p>
    <w:p w14:paraId="2F3A3555" w14:textId="77777777" w:rsidR="00A41005" w:rsidRDefault="00A41005" w:rsidP="00296C16">
      <w:pPr>
        <w:spacing w:after="0" w:line="240" w:lineRule="auto"/>
        <w:jc w:val="both"/>
        <w:rPr>
          <w:rFonts w:cs="Calibri"/>
          <w:sz w:val="20"/>
          <w:szCs w:val="20"/>
        </w:rPr>
      </w:pPr>
    </w:p>
    <w:p w14:paraId="1A243F70" w14:textId="671CBFD0" w:rsidR="001F3031" w:rsidRDefault="001F3031" w:rsidP="001F3031">
      <w:pPr>
        <w:pStyle w:val="Akapitzlist"/>
        <w:numPr>
          <w:ilvl w:val="0"/>
          <w:numId w:val="27"/>
        </w:numPr>
        <w:jc w:val="both"/>
        <w:rPr>
          <w:rFonts w:asciiTheme="minorHAnsi" w:hAnsiTheme="minorHAnsi" w:cstheme="minorHAnsi"/>
          <w:b/>
          <w:bCs/>
          <w:szCs w:val="24"/>
        </w:rPr>
      </w:pPr>
      <w:r>
        <w:rPr>
          <w:rFonts w:asciiTheme="minorHAnsi" w:hAnsiTheme="minorHAnsi" w:cstheme="minorHAnsi"/>
          <w:b/>
          <w:bCs/>
          <w:szCs w:val="24"/>
        </w:rPr>
        <w:t xml:space="preserve">Zapora sieciowa (firewall) – </w:t>
      </w:r>
      <w:r w:rsidR="00DC235F">
        <w:rPr>
          <w:rFonts w:asciiTheme="minorHAnsi" w:hAnsiTheme="minorHAnsi" w:cstheme="minorHAnsi"/>
          <w:b/>
          <w:bCs/>
          <w:szCs w:val="24"/>
        </w:rPr>
        <w:t>1 sztuka</w:t>
      </w:r>
    </w:p>
    <w:p w14:paraId="54F788C5" w14:textId="77777777" w:rsidR="00A41005" w:rsidRPr="00A41005" w:rsidRDefault="00A41005" w:rsidP="00A41005">
      <w:pPr>
        <w:jc w:val="both"/>
        <w:rPr>
          <w:rFonts w:asciiTheme="minorHAnsi" w:hAnsiTheme="minorHAnsi" w:cstheme="minorHAnsi"/>
          <w:b/>
          <w:bCs/>
          <w:szCs w:val="24"/>
        </w:rPr>
      </w:pPr>
    </w:p>
    <w:tbl>
      <w:tblPr>
        <w:tblStyle w:val="Tabela-Siatka"/>
        <w:tblW w:w="5000" w:type="pct"/>
        <w:tblInd w:w="0" w:type="dxa"/>
        <w:tblLayout w:type="fixed"/>
        <w:tblLook w:val="04A0" w:firstRow="1" w:lastRow="0" w:firstColumn="1" w:lastColumn="0" w:noHBand="0" w:noVBand="1"/>
      </w:tblPr>
      <w:tblGrid>
        <w:gridCol w:w="2611"/>
        <w:gridCol w:w="6675"/>
      </w:tblGrid>
      <w:tr w:rsidR="004178CC" w:rsidRPr="00A41005" w14:paraId="30207CF6" w14:textId="77777777" w:rsidTr="00901AFF">
        <w:trPr>
          <w:trHeight w:val="302"/>
        </w:trPr>
        <w:tc>
          <w:tcPr>
            <w:tcW w:w="1406" w:type="pct"/>
            <w:tcBorders>
              <w:top w:val="single" w:sz="4" w:space="0" w:color="auto"/>
              <w:left w:val="single" w:sz="4" w:space="0" w:color="auto"/>
              <w:bottom w:val="single" w:sz="4" w:space="0" w:color="auto"/>
              <w:right w:val="single" w:sz="4" w:space="0" w:color="auto"/>
            </w:tcBorders>
            <w:noWrap/>
            <w:vAlign w:val="center"/>
            <w:hideMark/>
          </w:tcPr>
          <w:p w14:paraId="7B291426" w14:textId="711B2BC8" w:rsidR="004178CC" w:rsidRPr="00A41005" w:rsidRDefault="00527A78" w:rsidP="00901AFF">
            <w:pPr>
              <w:spacing w:after="0"/>
              <w:rPr>
                <w:rFonts w:asciiTheme="minorHAnsi" w:hAnsiTheme="minorHAnsi" w:cstheme="minorHAnsi"/>
                <w:sz w:val="20"/>
                <w:szCs w:val="20"/>
                <w:highlight w:val="yellow"/>
              </w:rPr>
            </w:pPr>
            <w:r w:rsidRPr="00A41005">
              <w:rPr>
                <w:rFonts w:asciiTheme="minorHAnsi" w:hAnsiTheme="minorHAnsi" w:cstheme="minorHAnsi"/>
                <w:sz w:val="20"/>
                <w:szCs w:val="20"/>
              </w:rPr>
              <w:t>Zastosowanie</w:t>
            </w:r>
          </w:p>
        </w:tc>
        <w:tc>
          <w:tcPr>
            <w:tcW w:w="3594" w:type="pct"/>
            <w:tcBorders>
              <w:top w:val="single" w:sz="4" w:space="0" w:color="auto"/>
              <w:left w:val="single" w:sz="4" w:space="0" w:color="auto"/>
              <w:bottom w:val="single" w:sz="4" w:space="0" w:color="auto"/>
              <w:right w:val="single" w:sz="4" w:space="0" w:color="auto"/>
            </w:tcBorders>
            <w:noWrap/>
            <w:vAlign w:val="center"/>
          </w:tcPr>
          <w:p w14:paraId="2AFF4CBC" w14:textId="3A907678" w:rsidR="004178CC" w:rsidRPr="00A41005" w:rsidRDefault="00527A78" w:rsidP="00901AFF">
            <w:pPr>
              <w:spacing w:after="0"/>
              <w:contextualSpacing/>
              <w:rPr>
                <w:rFonts w:asciiTheme="minorHAnsi" w:hAnsiTheme="minorHAnsi" w:cstheme="minorHAnsi"/>
                <w:sz w:val="20"/>
              </w:rPr>
            </w:pPr>
            <w:r w:rsidRPr="00A41005">
              <w:rPr>
                <w:rFonts w:asciiTheme="minorHAnsi" w:hAnsiTheme="minorHAnsi" w:cstheme="minorHAnsi"/>
                <w:sz w:val="20"/>
              </w:rPr>
              <w:t xml:space="preserve">Urządzenie o funkcjonalności firewall, routera i </w:t>
            </w:r>
            <w:r w:rsidR="009D50C6" w:rsidRPr="00A41005">
              <w:rPr>
                <w:rFonts w:asciiTheme="minorHAnsi" w:hAnsiTheme="minorHAnsi" w:cstheme="minorHAnsi"/>
                <w:sz w:val="20"/>
              </w:rPr>
              <w:t>punktu dostępowego VPN.</w:t>
            </w:r>
          </w:p>
          <w:p w14:paraId="75F76F2C" w14:textId="77777777" w:rsidR="00527A78" w:rsidRPr="00A41005" w:rsidRDefault="00527A78" w:rsidP="00901AFF">
            <w:pPr>
              <w:spacing w:after="0"/>
              <w:contextualSpacing/>
              <w:rPr>
                <w:rFonts w:asciiTheme="minorHAnsi" w:hAnsiTheme="minorHAnsi" w:cstheme="minorHAnsi"/>
                <w:sz w:val="20"/>
                <w:highlight w:val="yellow"/>
              </w:rPr>
            </w:pPr>
          </w:p>
          <w:p w14:paraId="1F2F8CA2" w14:textId="2EC3B780" w:rsidR="004178CC" w:rsidRPr="00A41005" w:rsidRDefault="00527A78" w:rsidP="00901AFF">
            <w:pPr>
              <w:spacing w:after="0"/>
              <w:contextualSpacing/>
              <w:rPr>
                <w:rFonts w:asciiTheme="minorHAnsi" w:hAnsiTheme="minorHAnsi" w:cstheme="minorHAnsi"/>
                <w:sz w:val="20"/>
              </w:rPr>
            </w:pPr>
            <w:r w:rsidRPr="00A41005">
              <w:rPr>
                <w:rFonts w:asciiTheme="minorHAnsi" w:hAnsiTheme="minorHAnsi" w:cstheme="minorHAnsi"/>
                <w:sz w:val="20"/>
              </w:rPr>
              <w:t>Zapora sieciowa</w:t>
            </w:r>
            <w:r w:rsidR="004178CC" w:rsidRPr="00A41005">
              <w:rPr>
                <w:rFonts w:asciiTheme="minorHAnsi" w:hAnsiTheme="minorHAnsi" w:cstheme="minorHAnsi"/>
                <w:sz w:val="20"/>
              </w:rPr>
              <w:t xml:space="preserve"> musi realizować wszystkie poniższe </w:t>
            </w:r>
            <w:r w:rsidRPr="00A41005">
              <w:rPr>
                <w:rFonts w:asciiTheme="minorHAnsi" w:hAnsiTheme="minorHAnsi" w:cstheme="minorHAnsi"/>
                <w:sz w:val="20"/>
              </w:rPr>
              <w:t>funkcjonalności</w:t>
            </w:r>
            <w:r w:rsidR="004178CC" w:rsidRPr="00A41005">
              <w:rPr>
                <w:rFonts w:asciiTheme="minorHAnsi" w:hAnsiTheme="minorHAnsi" w:cstheme="minorHAnsi"/>
                <w:sz w:val="20"/>
              </w:rPr>
              <w:t>:</w:t>
            </w:r>
          </w:p>
          <w:p w14:paraId="6268FF42"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Ad blocker</w:t>
            </w:r>
          </w:p>
          <w:p w14:paraId="71155F17"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Captive Portal</w:t>
            </w:r>
          </w:p>
          <w:p w14:paraId="5BEDE692"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CARP / HA</w:t>
            </w:r>
          </w:p>
          <w:p w14:paraId="50B35A8F"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DNS Server</w:t>
            </w:r>
          </w:p>
          <w:p w14:paraId="0BA612E5"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DHCP Server</w:t>
            </w:r>
          </w:p>
          <w:p w14:paraId="7D2F80BA"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 xml:space="preserve">HTTP transparent / web / reverse proxy </w:t>
            </w:r>
          </w:p>
          <w:p w14:paraId="226A5FDA"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 xml:space="preserve">IP / Country block list </w:t>
            </w:r>
          </w:p>
          <w:p w14:paraId="65EBE078"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IDS/IPS</w:t>
            </w:r>
          </w:p>
          <w:p w14:paraId="250F573A"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lastRenderedPageBreak/>
              <w:t>•</w:t>
            </w:r>
            <w:r w:rsidRPr="00A41005">
              <w:rPr>
                <w:rFonts w:asciiTheme="minorHAnsi" w:hAnsiTheme="minorHAnsi" w:cstheme="minorHAnsi"/>
                <w:sz w:val="20"/>
                <w:lang w:val="en-GB"/>
              </w:rPr>
              <w:tab/>
              <w:t>Packet capture / inspection</w:t>
            </w:r>
          </w:p>
          <w:p w14:paraId="58921AAB"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Port forwarding</w:t>
            </w:r>
          </w:p>
          <w:p w14:paraId="781600B6"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QOS / rate limiters</w:t>
            </w:r>
          </w:p>
          <w:p w14:paraId="7F264A36"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Software load balancer (HA Proxy)</w:t>
            </w:r>
          </w:p>
          <w:p w14:paraId="7AFA02CF"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Traffic monitoring</w:t>
            </w:r>
          </w:p>
          <w:p w14:paraId="644AAF84"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Traffic logging, statistics, and graphs</w:t>
            </w:r>
          </w:p>
          <w:p w14:paraId="203C3F96"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Traffic shaping</w:t>
            </w:r>
          </w:p>
          <w:p w14:paraId="42600ECC"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VLAN</w:t>
            </w:r>
          </w:p>
          <w:p w14:paraId="7A246F83" w14:textId="77777777" w:rsidR="00527A78" w:rsidRPr="00A41005" w:rsidRDefault="00527A78" w:rsidP="00527A78">
            <w:pPr>
              <w:spacing w:after="0"/>
              <w:contextualSpacing/>
              <w:rPr>
                <w:rFonts w:asciiTheme="minorHAnsi" w:hAnsiTheme="minorHAnsi" w:cstheme="minorHAnsi"/>
                <w:sz w:val="20"/>
                <w:lang w:val="en-GB"/>
              </w:rPr>
            </w:pPr>
            <w:r w:rsidRPr="00A41005">
              <w:rPr>
                <w:rFonts w:asciiTheme="minorHAnsi" w:hAnsiTheme="minorHAnsi" w:cstheme="minorHAnsi"/>
                <w:sz w:val="20"/>
                <w:lang w:val="en-GB"/>
              </w:rPr>
              <w:t>•</w:t>
            </w:r>
            <w:r w:rsidRPr="00A41005">
              <w:rPr>
                <w:rFonts w:asciiTheme="minorHAnsi" w:hAnsiTheme="minorHAnsi" w:cstheme="minorHAnsi"/>
                <w:sz w:val="20"/>
                <w:lang w:val="en-GB"/>
              </w:rPr>
              <w:tab/>
              <w:t>Wake-on-LAN</w:t>
            </w:r>
          </w:p>
          <w:p w14:paraId="59DDE17E" w14:textId="62D6F8C3" w:rsidR="004178CC" w:rsidRPr="00A41005" w:rsidRDefault="00527A78" w:rsidP="00527A78">
            <w:pPr>
              <w:spacing w:after="0"/>
              <w:contextualSpacing/>
              <w:rPr>
                <w:rFonts w:asciiTheme="minorHAnsi" w:hAnsiTheme="minorHAnsi" w:cstheme="minorHAnsi"/>
                <w:sz w:val="20"/>
              </w:rPr>
            </w:pPr>
            <w:r w:rsidRPr="00A41005">
              <w:rPr>
                <w:rFonts w:asciiTheme="minorHAnsi" w:hAnsiTheme="minorHAnsi" w:cstheme="minorHAnsi"/>
                <w:sz w:val="20"/>
              </w:rPr>
              <w:t>•</w:t>
            </w:r>
            <w:r w:rsidRPr="00A41005">
              <w:rPr>
                <w:rFonts w:asciiTheme="minorHAnsi" w:hAnsiTheme="minorHAnsi" w:cstheme="minorHAnsi"/>
                <w:sz w:val="20"/>
              </w:rPr>
              <w:tab/>
              <w:t>Website blocker</w:t>
            </w:r>
          </w:p>
        </w:tc>
      </w:tr>
      <w:tr w:rsidR="004178CC" w:rsidRPr="00E86809" w14:paraId="29BB6A6E" w14:textId="77777777" w:rsidTr="00901AFF">
        <w:trPr>
          <w:trHeight w:val="302"/>
        </w:trPr>
        <w:tc>
          <w:tcPr>
            <w:tcW w:w="1406" w:type="pct"/>
            <w:tcBorders>
              <w:top w:val="single" w:sz="4" w:space="0" w:color="auto"/>
              <w:left w:val="single" w:sz="4" w:space="0" w:color="auto"/>
              <w:bottom w:val="single" w:sz="4" w:space="0" w:color="auto"/>
              <w:right w:val="single" w:sz="4" w:space="0" w:color="auto"/>
            </w:tcBorders>
            <w:noWrap/>
            <w:hideMark/>
          </w:tcPr>
          <w:p w14:paraId="6966A934" w14:textId="77777777" w:rsidR="004178CC" w:rsidRPr="00A41005" w:rsidRDefault="004178CC" w:rsidP="00901AFF">
            <w:pPr>
              <w:spacing w:after="0"/>
              <w:rPr>
                <w:rFonts w:asciiTheme="minorHAnsi" w:hAnsiTheme="minorHAnsi" w:cstheme="minorHAnsi"/>
                <w:sz w:val="20"/>
                <w:szCs w:val="20"/>
              </w:rPr>
            </w:pPr>
            <w:r w:rsidRPr="00A41005">
              <w:rPr>
                <w:rFonts w:asciiTheme="minorHAnsi" w:hAnsiTheme="minorHAnsi" w:cstheme="minorHAnsi"/>
                <w:sz w:val="20"/>
                <w:szCs w:val="20"/>
              </w:rPr>
              <w:lastRenderedPageBreak/>
              <w:t>Porty</w:t>
            </w:r>
          </w:p>
        </w:tc>
        <w:tc>
          <w:tcPr>
            <w:tcW w:w="3594" w:type="pct"/>
            <w:tcBorders>
              <w:top w:val="single" w:sz="4" w:space="0" w:color="auto"/>
              <w:left w:val="single" w:sz="4" w:space="0" w:color="auto"/>
              <w:bottom w:val="single" w:sz="4" w:space="0" w:color="auto"/>
              <w:right w:val="single" w:sz="4" w:space="0" w:color="auto"/>
            </w:tcBorders>
            <w:noWrap/>
          </w:tcPr>
          <w:p w14:paraId="4AEC21B3" w14:textId="77777777" w:rsidR="004178CC" w:rsidRPr="00A41005" w:rsidRDefault="004178CC" w:rsidP="004178CC">
            <w:pPr>
              <w:spacing w:after="0"/>
              <w:rPr>
                <w:rFonts w:asciiTheme="minorHAnsi" w:hAnsiTheme="minorHAnsi" w:cstheme="minorHAnsi"/>
                <w:sz w:val="20"/>
                <w:szCs w:val="20"/>
                <w:lang w:val="en-GB"/>
              </w:rPr>
            </w:pPr>
            <w:r w:rsidRPr="00A41005">
              <w:rPr>
                <w:rFonts w:asciiTheme="minorHAnsi" w:hAnsiTheme="minorHAnsi" w:cstheme="minorHAnsi"/>
                <w:sz w:val="20"/>
                <w:szCs w:val="20"/>
                <w:lang w:val="en-GB"/>
              </w:rPr>
              <w:t>1 x 1 Gigabit Ethernet WAN, (RJ45 / SFP Combo)</w:t>
            </w:r>
          </w:p>
          <w:p w14:paraId="5FD5A42C" w14:textId="77777777" w:rsidR="004178CC" w:rsidRPr="00A41005" w:rsidRDefault="004178CC" w:rsidP="004178CC">
            <w:pPr>
              <w:spacing w:after="0"/>
              <w:rPr>
                <w:rFonts w:asciiTheme="minorHAnsi" w:hAnsiTheme="minorHAnsi" w:cstheme="minorHAnsi"/>
                <w:sz w:val="20"/>
                <w:szCs w:val="20"/>
                <w:lang w:val="en-GB"/>
              </w:rPr>
            </w:pPr>
            <w:r w:rsidRPr="00A41005">
              <w:rPr>
                <w:rFonts w:asciiTheme="minorHAnsi" w:hAnsiTheme="minorHAnsi" w:cstheme="minorHAnsi"/>
                <w:sz w:val="20"/>
                <w:szCs w:val="20"/>
                <w:lang w:val="en-GB"/>
              </w:rPr>
              <w:t>4 x 1 Gigabit Ethernet LAN, (Marvel 88E6141 switch, uplink do 2.5 Gbps)</w:t>
            </w:r>
          </w:p>
          <w:p w14:paraId="11612D87" w14:textId="77777777" w:rsidR="004178CC" w:rsidRPr="00A41005" w:rsidRDefault="004178CC" w:rsidP="004178CC">
            <w:pPr>
              <w:spacing w:after="0"/>
              <w:rPr>
                <w:rFonts w:asciiTheme="minorHAnsi" w:hAnsiTheme="minorHAnsi" w:cstheme="minorHAnsi"/>
                <w:sz w:val="20"/>
                <w:szCs w:val="20"/>
              </w:rPr>
            </w:pPr>
            <w:r w:rsidRPr="00A41005">
              <w:rPr>
                <w:rFonts w:asciiTheme="minorHAnsi" w:hAnsiTheme="minorHAnsi" w:cstheme="minorHAnsi"/>
                <w:sz w:val="20"/>
                <w:szCs w:val="20"/>
              </w:rPr>
              <w:t>Porty LAN mogą być wykorzystane jako dodatkowe porty WAN</w:t>
            </w:r>
          </w:p>
          <w:p w14:paraId="61D6D9E8" w14:textId="77777777" w:rsidR="004178CC" w:rsidRPr="00A41005" w:rsidRDefault="004178CC" w:rsidP="004178CC">
            <w:pPr>
              <w:spacing w:after="0"/>
              <w:rPr>
                <w:rFonts w:asciiTheme="minorHAnsi" w:hAnsiTheme="minorHAnsi" w:cstheme="minorHAnsi"/>
                <w:sz w:val="20"/>
                <w:szCs w:val="20"/>
                <w:lang w:val="en-GB"/>
              </w:rPr>
            </w:pPr>
            <w:r w:rsidRPr="00A41005">
              <w:rPr>
                <w:rFonts w:asciiTheme="minorHAnsi" w:hAnsiTheme="minorHAnsi" w:cstheme="minorHAnsi"/>
                <w:sz w:val="20"/>
                <w:szCs w:val="20"/>
                <w:lang w:val="en-GB"/>
              </w:rPr>
              <w:t>1 x USB 2.0</w:t>
            </w:r>
          </w:p>
          <w:p w14:paraId="227626CE" w14:textId="0A728FAC" w:rsidR="004178CC" w:rsidRPr="00A41005" w:rsidRDefault="004178CC" w:rsidP="004178CC">
            <w:pPr>
              <w:spacing w:after="0"/>
              <w:rPr>
                <w:rFonts w:asciiTheme="minorHAnsi" w:hAnsiTheme="minorHAnsi" w:cstheme="minorHAnsi"/>
                <w:sz w:val="20"/>
                <w:szCs w:val="20"/>
                <w:lang w:val="en-GB"/>
              </w:rPr>
            </w:pPr>
            <w:r w:rsidRPr="00A41005">
              <w:rPr>
                <w:rFonts w:asciiTheme="minorHAnsi" w:hAnsiTheme="minorHAnsi" w:cstheme="minorHAnsi"/>
                <w:sz w:val="20"/>
                <w:szCs w:val="20"/>
                <w:lang w:val="en-GB"/>
              </w:rPr>
              <w:t>1 x Micro USB port</w:t>
            </w:r>
          </w:p>
        </w:tc>
      </w:tr>
      <w:tr w:rsidR="0099022C" w:rsidRPr="00A41005" w14:paraId="6803C960" w14:textId="77777777" w:rsidTr="00901AFF">
        <w:trPr>
          <w:trHeight w:val="302"/>
        </w:trPr>
        <w:tc>
          <w:tcPr>
            <w:tcW w:w="1406" w:type="pct"/>
            <w:tcBorders>
              <w:top w:val="single" w:sz="4" w:space="0" w:color="auto"/>
              <w:left w:val="single" w:sz="4" w:space="0" w:color="auto"/>
              <w:bottom w:val="single" w:sz="4" w:space="0" w:color="auto"/>
              <w:right w:val="single" w:sz="4" w:space="0" w:color="auto"/>
            </w:tcBorders>
            <w:noWrap/>
          </w:tcPr>
          <w:p w14:paraId="2842DD0A" w14:textId="2163C791" w:rsidR="0099022C" w:rsidRPr="00A41005" w:rsidRDefault="0099022C" w:rsidP="00901AFF">
            <w:pPr>
              <w:spacing w:after="0"/>
              <w:rPr>
                <w:rFonts w:asciiTheme="minorHAnsi" w:hAnsiTheme="minorHAnsi" w:cstheme="minorHAnsi"/>
                <w:sz w:val="20"/>
                <w:szCs w:val="20"/>
              </w:rPr>
            </w:pPr>
            <w:r w:rsidRPr="00A41005">
              <w:rPr>
                <w:rFonts w:asciiTheme="minorHAnsi" w:hAnsiTheme="minorHAnsi" w:cstheme="minorHAnsi"/>
                <w:sz w:val="20"/>
                <w:szCs w:val="20"/>
              </w:rPr>
              <w:t>Pamięć systemowa</w:t>
            </w:r>
          </w:p>
        </w:tc>
        <w:tc>
          <w:tcPr>
            <w:tcW w:w="3594" w:type="pct"/>
            <w:tcBorders>
              <w:top w:val="single" w:sz="4" w:space="0" w:color="auto"/>
              <w:left w:val="single" w:sz="4" w:space="0" w:color="auto"/>
              <w:bottom w:val="single" w:sz="4" w:space="0" w:color="auto"/>
              <w:right w:val="single" w:sz="4" w:space="0" w:color="auto"/>
            </w:tcBorders>
            <w:noWrap/>
          </w:tcPr>
          <w:p w14:paraId="28267FDB" w14:textId="5FD336AD" w:rsidR="0099022C" w:rsidRPr="00A41005" w:rsidRDefault="0099022C" w:rsidP="00901AFF">
            <w:pPr>
              <w:spacing w:after="0"/>
              <w:rPr>
                <w:rFonts w:asciiTheme="minorHAnsi" w:hAnsiTheme="minorHAnsi" w:cstheme="minorHAnsi"/>
                <w:sz w:val="20"/>
                <w:szCs w:val="20"/>
              </w:rPr>
            </w:pPr>
            <w:r w:rsidRPr="00A41005">
              <w:rPr>
                <w:rFonts w:asciiTheme="minorHAnsi" w:hAnsiTheme="minorHAnsi" w:cstheme="minorHAnsi"/>
                <w:sz w:val="20"/>
                <w:szCs w:val="20"/>
              </w:rPr>
              <w:t>4 GB DDR4 RAM</w:t>
            </w:r>
          </w:p>
        </w:tc>
      </w:tr>
      <w:tr w:rsidR="0099022C" w:rsidRPr="00A41005" w14:paraId="34CF1D20" w14:textId="77777777" w:rsidTr="00901AFF">
        <w:trPr>
          <w:trHeight w:val="302"/>
        </w:trPr>
        <w:tc>
          <w:tcPr>
            <w:tcW w:w="1406" w:type="pct"/>
            <w:tcBorders>
              <w:top w:val="single" w:sz="4" w:space="0" w:color="auto"/>
              <w:left w:val="single" w:sz="4" w:space="0" w:color="auto"/>
              <w:bottom w:val="single" w:sz="4" w:space="0" w:color="auto"/>
              <w:right w:val="single" w:sz="4" w:space="0" w:color="auto"/>
            </w:tcBorders>
            <w:noWrap/>
          </w:tcPr>
          <w:p w14:paraId="4813C8F3" w14:textId="4A0E7A5C" w:rsidR="0099022C" w:rsidRPr="00A41005" w:rsidRDefault="0099022C" w:rsidP="00901AFF">
            <w:pPr>
              <w:spacing w:after="0"/>
              <w:rPr>
                <w:rFonts w:asciiTheme="minorHAnsi" w:hAnsiTheme="minorHAnsi" w:cstheme="minorHAnsi"/>
                <w:sz w:val="20"/>
                <w:szCs w:val="20"/>
              </w:rPr>
            </w:pPr>
            <w:r w:rsidRPr="00A41005">
              <w:rPr>
                <w:rFonts w:asciiTheme="minorHAnsi" w:hAnsiTheme="minorHAnsi" w:cstheme="minorHAnsi"/>
                <w:sz w:val="20"/>
                <w:szCs w:val="20"/>
              </w:rPr>
              <w:t>Pamięć</w:t>
            </w:r>
          </w:p>
        </w:tc>
        <w:tc>
          <w:tcPr>
            <w:tcW w:w="3594" w:type="pct"/>
            <w:tcBorders>
              <w:top w:val="single" w:sz="4" w:space="0" w:color="auto"/>
              <w:left w:val="single" w:sz="4" w:space="0" w:color="auto"/>
              <w:bottom w:val="single" w:sz="4" w:space="0" w:color="auto"/>
              <w:right w:val="single" w:sz="4" w:space="0" w:color="auto"/>
            </w:tcBorders>
            <w:noWrap/>
          </w:tcPr>
          <w:p w14:paraId="3A10E287" w14:textId="08A35BC4" w:rsidR="0099022C" w:rsidRPr="00A41005" w:rsidRDefault="0099022C" w:rsidP="00901AFF">
            <w:pPr>
              <w:spacing w:after="0"/>
              <w:rPr>
                <w:rFonts w:asciiTheme="minorHAnsi" w:hAnsiTheme="minorHAnsi" w:cstheme="minorHAnsi"/>
                <w:sz w:val="20"/>
                <w:szCs w:val="20"/>
              </w:rPr>
            </w:pPr>
            <w:r w:rsidRPr="00A41005">
              <w:rPr>
                <w:rFonts w:asciiTheme="minorHAnsi" w:hAnsiTheme="minorHAnsi" w:cstheme="minorHAnsi"/>
                <w:sz w:val="20"/>
                <w:szCs w:val="20"/>
              </w:rPr>
              <w:t xml:space="preserve">8 GB </w:t>
            </w:r>
            <w:r w:rsidR="00527A78" w:rsidRPr="00A41005">
              <w:rPr>
                <w:rFonts w:asciiTheme="minorHAnsi" w:hAnsiTheme="minorHAnsi" w:cstheme="minorHAnsi"/>
                <w:sz w:val="20"/>
                <w:szCs w:val="20"/>
              </w:rPr>
              <w:t>e</w:t>
            </w:r>
            <w:r w:rsidRPr="00A41005">
              <w:rPr>
                <w:rFonts w:asciiTheme="minorHAnsi" w:hAnsiTheme="minorHAnsi" w:cstheme="minorHAnsi"/>
                <w:sz w:val="20"/>
                <w:szCs w:val="20"/>
              </w:rPr>
              <w:t>MMC, rozszerzalna fabrycznie do 32 GB</w:t>
            </w:r>
          </w:p>
        </w:tc>
      </w:tr>
      <w:tr w:rsidR="004178CC" w:rsidRPr="00A41005" w14:paraId="30698ADE" w14:textId="77777777" w:rsidTr="00901AFF">
        <w:trPr>
          <w:trHeight w:val="302"/>
        </w:trPr>
        <w:tc>
          <w:tcPr>
            <w:tcW w:w="1406" w:type="pct"/>
            <w:tcBorders>
              <w:top w:val="single" w:sz="4" w:space="0" w:color="auto"/>
              <w:left w:val="single" w:sz="4" w:space="0" w:color="auto"/>
              <w:bottom w:val="single" w:sz="4" w:space="0" w:color="auto"/>
              <w:right w:val="single" w:sz="4" w:space="0" w:color="auto"/>
            </w:tcBorders>
            <w:noWrap/>
            <w:vAlign w:val="center"/>
          </w:tcPr>
          <w:p w14:paraId="5A97B0AE" w14:textId="77777777" w:rsidR="004178CC" w:rsidRPr="00A41005" w:rsidRDefault="004178CC" w:rsidP="00901AFF">
            <w:pPr>
              <w:spacing w:after="0"/>
              <w:rPr>
                <w:rFonts w:asciiTheme="minorHAnsi" w:eastAsia="Times New Roman" w:hAnsiTheme="minorHAnsi" w:cstheme="minorHAnsi"/>
                <w:sz w:val="20"/>
                <w:szCs w:val="20"/>
                <w:lang w:eastAsia="pl-PL"/>
              </w:rPr>
            </w:pPr>
            <w:r w:rsidRPr="00A41005">
              <w:rPr>
                <w:rFonts w:asciiTheme="minorHAnsi" w:eastAsia="Times New Roman" w:hAnsiTheme="minorHAnsi" w:cstheme="minorHAnsi"/>
                <w:sz w:val="20"/>
                <w:szCs w:val="20"/>
                <w:lang w:eastAsia="pl-PL"/>
              </w:rPr>
              <w:t>Gwarancja i wsparcie</w:t>
            </w:r>
          </w:p>
        </w:tc>
        <w:tc>
          <w:tcPr>
            <w:tcW w:w="3594" w:type="pct"/>
            <w:tcBorders>
              <w:top w:val="single" w:sz="4" w:space="0" w:color="auto"/>
              <w:left w:val="single" w:sz="4" w:space="0" w:color="auto"/>
              <w:bottom w:val="single" w:sz="4" w:space="0" w:color="auto"/>
              <w:right w:val="single" w:sz="4" w:space="0" w:color="auto"/>
            </w:tcBorders>
            <w:noWrap/>
            <w:vAlign w:val="center"/>
          </w:tcPr>
          <w:p w14:paraId="0861F10F" w14:textId="531D9C81" w:rsidR="004178CC" w:rsidRPr="00A41005" w:rsidRDefault="004178CC" w:rsidP="00901AFF">
            <w:pPr>
              <w:pStyle w:val="Akapitzlist"/>
              <w:ind w:left="30"/>
              <w:rPr>
                <w:rFonts w:asciiTheme="minorHAnsi" w:eastAsia="Times New Roman" w:hAnsiTheme="minorHAnsi" w:cstheme="minorHAnsi"/>
                <w:sz w:val="20"/>
              </w:rPr>
            </w:pPr>
            <w:r w:rsidRPr="00A41005">
              <w:rPr>
                <w:rFonts w:asciiTheme="minorHAnsi" w:eastAsia="Times New Roman" w:hAnsiTheme="minorHAnsi" w:cstheme="minorHAnsi"/>
                <w:sz w:val="20"/>
              </w:rPr>
              <w:t>Sprzęt musi być objęty serwisem gwarancyjnym producenta przez okres 24 miesięcy, polegającym na naprawie lub wymianie urządzenia w przypadku jego wadliwości. W ramach tego serwisu producent musi zapewniać również dostęp do aktualizacji oprogramowania.</w:t>
            </w:r>
          </w:p>
        </w:tc>
      </w:tr>
    </w:tbl>
    <w:p w14:paraId="29F0E8EB" w14:textId="77777777" w:rsidR="001F3031" w:rsidRDefault="001F3031" w:rsidP="00296C16">
      <w:pPr>
        <w:spacing w:after="0" w:line="240" w:lineRule="auto"/>
        <w:jc w:val="both"/>
        <w:rPr>
          <w:rFonts w:cs="Calibri"/>
          <w:sz w:val="20"/>
          <w:szCs w:val="20"/>
        </w:rPr>
      </w:pPr>
    </w:p>
    <w:p w14:paraId="5D90F6E8" w14:textId="77777777" w:rsidR="00C930CB" w:rsidRPr="00C930CB" w:rsidRDefault="00C930CB" w:rsidP="00C930CB">
      <w:pPr>
        <w:spacing w:after="0" w:line="240" w:lineRule="auto"/>
        <w:jc w:val="both"/>
        <w:rPr>
          <w:rFonts w:cs="Calibri"/>
          <w:b/>
          <w:bCs/>
          <w:sz w:val="24"/>
          <w:szCs w:val="24"/>
        </w:rPr>
      </w:pPr>
      <w:r w:rsidRPr="00C930CB">
        <w:rPr>
          <w:rFonts w:cs="Calibri"/>
          <w:b/>
          <w:bCs/>
          <w:sz w:val="24"/>
          <w:szCs w:val="24"/>
        </w:rPr>
        <w:t xml:space="preserve">UWAGA </w:t>
      </w:r>
    </w:p>
    <w:p w14:paraId="0EF14156" w14:textId="2BEB04E5" w:rsidR="00C930CB" w:rsidRDefault="00C930CB" w:rsidP="00C930CB">
      <w:pPr>
        <w:spacing w:after="0" w:line="240" w:lineRule="auto"/>
        <w:jc w:val="both"/>
        <w:rPr>
          <w:rFonts w:cs="Calibri"/>
          <w:sz w:val="24"/>
          <w:szCs w:val="24"/>
        </w:rPr>
      </w:pPr>
      <w:r w:rsidRPr="00C930CB">
        <w:rPr>
          <w:rFonts w:cs="Calibri"/>
          <w:sz w:val="24"/>
          <w:szCs w:val="24"/>
        </w:rPr>
        <w:t xml:space="preserve">Zamawiający dopuszcza oferowanie materiałów lub rozwiązań równoważnych, pod warunkiem, że zagwarantują one wykonanie zamówienia w zgodzie z treścią </w:t>
      </w:r>
      <w:r w:rsidR="00505115">
        <w:rPr>
          <w:rFonts w:cs="Calibri"/>
          <w:sz w:val="24"/>
          <w:szCs w:val="24"/>
        </w:rPr>
        <w:t>SWZ</w:t>
      </w:r>
      <w:r w:rsidRPr="00C930CB">
        <w:rPr>
          <w:rFonts w:cs="Calibri"/>
          <w:sz w:val="24"/>
          <w:szCs w:val="24"/>
        </w:rPr>
        <w:t xml:space="preserve"> oraz zapewnią uzyskanie parametrów technicznych i użytkowych nie gorszych od założonych w wyżej wymienionych dokumentach.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p w14:paraId="1B3A6FD2" w14:textId="77777777" w:rsidR="00583FBB" w:rsidRDefault="00583FBB" w:rsidP="00C930CB">
      <w:pPr>
        <w:spacing w:after="0" w:line="240" w:lineRule="auto"/>
        <w:jc w:val="both"/>
        <w:rPr>
          <w:rFonts w:cs="Calibri"/>
          <w:sz w:val="24"/>
          <w:szCs w:val="24"/>
        </w:rPr>
      </w:pPr>
    </w:p>
    <w:p w14:paraId="5DAE3F69" w14:textId="77777777" w:rsidR="00583FBB" w:rsidRDefault="00583FBB" w:rsidP="00583FBB">
      <w:pPr>
        <w:rPr>
          <w:rFonts w:cs="Calibri"/>
          <w:bCs/>
          <w:color w:val="000000"/>
          <w:sz w:val="20"/>
          <w:szCs w:val="20"/>
        </w:rPr>
      </w:pPr>
    </w:p>
    <w:p w14:paraId="00C37BFC" w14:textId="77777777" w:rsidR="00583FBB" w:rsidRPr="00E50FB8" w:rsidRDefault="00583FBB" w:rsidP="00583FBB">
      <w:pPr>
        <w:autoSpaceDE w:val="0"/>
        <w:autoSpaceDN w:val="0"/>
        <w:adjustRightInd w:val="0"/>
        <w:jc w:val="both"/>
        <w:rPr>
          <w:rFonts w:asciiTheme="minorHAnsi" w:hAnsiTheme="minorHAnsi" w:cstheme="minorHAnsi"/>
          <w:color w:val="000000"/>
          <w:sz w:val="24"/>
          <w:szCs w:val="24"/>
        </w:rPr>
      </w:pPr>
      <w:r w:rsidRPr="00E50FB8">
        <w:rPr>
          <w:rFonts w:asciiTheme="minorHAnsi" w:hAnsiTheme="minorHAnsi" w:cstheme="minorHAnsi"/>
          <w:color w:val="000000"/>
          <w:sz w:val="24"/>
          <w:szCs w:val="24"/>
        </w:rPr>
        <w:t>Wymagania Zamawiającego:</w:t>
      </w:r>
    </w:p>
    <w:p w14:paraId="6678280B" w14:textId="77777777" w:rsidR="00583FBB" w:rsidRPr="00E50FB8" w:rsidRDefault="00583FBB" w:rsidP="00583FBB">
      <w:pPr>
        <w:pStyle w:val="Akapitzlist"/>
        <w:widowControl/>
        <w:numPr>
          <w:ilvl w:val="0"/>
          <w:numId w:val="30"/>
        </w:numPr>
        <w:suppressAutoHyphens w:val="0"/>
        <w:autoSpaceDE w:val="0"/>
        <w:autoSpaceDN w:val="0"/>
        <w:adjustRightInd w:val="0"/>
        <w:jc w:val="both"/>
        <w:rPr>
          <w:rFonts w:asciiTheme="minorHAnsi" w:hAnsiTheme="minorHAnsi" w:cstheme="minorHAnsi"/>
          <w:szCs w:val="24"/>
        </w:rPr>
      </w:pPr>
      <w:r w:rsidRPr="00E50FB8">
        <w:rPr>
          <w:rFonts w:asciiTheme="minorHAnsi" w:hAnsiTheme="minorHAnsi" w:cstheme="minorHAnsi"/>
          <w:szCs w:val="24"/>
        </w:rPr>
        <w:t>Przedmiot zamówienia będzie posiadał wymagane przepisami atesty i certyfikaty, w szczególności dotyczące wyrobu gotowego. Wykonawca ponosi odpowiedzialność za jakość dostarczonego przedmiotu zamówienia w całości.</w:t>
      </w:r>
    </w:p>
    <w:p w14:paraId="2AA5225D" w14:textId="77777777" w:rsidR="00583FBB" w:rsidRPr="00E50FB8" w:rsidRDefault="00583FBB" w:rsidP="00583FBB">
      <w:pPr>
        <w:pStyle w:val="Akapitzlist"/>
        <w:widowControl/>
        <w:numPr>
          <w:ilvl w:val="0"/>
          <w:numId w:val="30"/>
        </w:numPr>
        <w:suppressAutoHyphens w:val="0"/>
        <w:autoSpaceDE w:val="0"/>
        <w:autoSpaceDN w:val="0"/>
        <w:adjustRightInd w:val="0"/>
        <w:jc w:val="both"/>
        <w:rPr>
          <w:rFonts w:asciiTheme="minorHAnsi" w:hAnsiTheme="minorHAnsi" w:cstheme="minorHAnsi"/>
          <w:szCs w:val="24"/>
        </w:rPr>
      </w:pPr>
      <w:r w:rsidRPr="00E50FB8">
        <w:rPr>
          <w:rFonts w:asciiTheme="minorHAnsi" w:hAnsiTheme="minorHAnsi" w:cstheme="minorHAnsi"/>
          <w:szCs w:val="24"/>
        </w:rPr>
        <w:t xml:space="preserve">Rękojmia - wymagany przez Zamawiającego okres rękojmi wynosi 24 miesiące, liczone od daty podpisania protokołu odbioru. Zamawiający wymaga rękojmi producenta, świadczonej według warunków opisanych powyżej. </w:t>
      </w:r>
    </w:p>
    <w:p w14:paraId="2BE079D2" w14:textId="77777777" w:rsidR="00583FBB" w:rsidRPr="00E50FB8" w:rsidRDefault="00583FBB" w:rsidP="00C930CB">
      <w:pPr>
        <w:spacing w:after="0" w:line="240" w:lineRule="auto"/>
        <w:jc w:val="both"/>
        <w:rPr>
          <w:rFonts w:asciiTheme="minorHAnsi" w:hAnsiTheme="minorHAnsi" w:cstheme="minorHAnsi"/>
          <w:sz w:val="24"/>
          <w:szCs w:val="24"/>
        </w:rPr>
      </w:pPr>
    </w:p>
    <w:sectPr w:rsidR="00583FBB" w:rsidRPr="00E50FB8" w:rsidSect="0056629B">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735C" w14:textId="77777777" w:rsidR="00636E41" w:rsidRDefault="00636E41" w:rsidP="00536659">
      <w:pPr>
        <w:spacing w:after="0" w:line="240" w:lineRule="auto"/>
      </w:pPr>
      <w:r>
        <w:separator/>
      </w:r>
    </w:p>
  </w:endnote>
  <w:endnote w:type="continuationSeparator" w:id="0">
    <w:p w14:paraId="56F4147F" w14:textId="77777777" w:rsidR="00636E41" w:rsidRDefault="00636E41" w:rsidP="0053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D3A6" w14:textId="77777777" w:rsidR="00636E41" w:rsidRDefault="00636E41" w:rsidP="00536659">
      <w:pPr>
        <w:spacing w:after="0" w:line="240" w:lineRule="auto"/>
      </w:pPr>
      <w:r>
        <w:separator/>
      </w:r>
    </w:p>
  </w:footnote>
  <w:footnote w:type="continuationSeparator" w:id="0">
    <w:p w14:paraId="4E6F4874" w14:textId="77777777" w:rsidR="00636E41" w:rsidRDefault="00636E41" w:rsidP="0053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AEF3" w14:textId="151717AC" w:rsidR="002B342E" w:rsidRDefault="00EA7C75" w:rsidP="002B342E">
    <w:pPr>
      <w:pStyle w:val="Nagwek"/>
      <w:jc w:val="center"/>
    </w:pPr>
    <w:r w:rsidRPr="000F2A9A">
      <w:rPr>
        <w:noProof/>
        <w:lang w:eastAsia="pl-PL"/>
      </w:rPr>
      <w:drawing>
        <wp:inline distT="0" distB="0" distL="0" distR="0" wp14:anchorId="7E64E507" wp14:editId="512BB6F8">
          <wp:extent cx="5760720" cy="8001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A1D"/>
    <w:multiLevelType w:val="hybridMultilevel"/>
    <w:tmpl w:val="B8A8B090"/>
    <w:lvl w:ilvl="0" w:tplc="79C87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F58BF"/>
    <w:multiLevelType w:val="hybridMultilevel"/>
    <w:tmpl w:val="18944784"/>
    <w:lvl w:ilvl="0" w:tplc="AAF4F7E8">
      <w:start w:val="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CB373CD"/>
    <w:multiLevelType w:val="hybridMultilevel"/>
    <w:tmpl w:val="D40EB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867E28"/>
    <w:multiLevelType w:val="hybridMultilevel"/>
    <w:tmpl w:val="27763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B1058C"/>
    <w:multiLevelType w:val="hybridMultilevel"/>
    <w:tmpl w:val="84624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57361"/>
    <w:multiLevelType w:val="hybridMultilevel"/>
    <w:tmpl w:val="358ED6D8"/>
    <w:lvl w:ilvl="0" w:tplc="1400B5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F14049F"/>
    <w:multiLevelType w:val="hybridMultilevel"/>
    <w:tmpl w:val="5242112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09D6716"/>
    <w:multiLevelType w:val="hybridMultilevel"/>
    <w:tmpl w:val="F6281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33A92"/>
    <w:multiLevelType w:val="hybridMultilevel"/>
    <w:tmpl w:val="4C0849C6"/>
    <w:lvl w:ilvl="0" w:tplc="AAF4F7E8">
      <w:start w:val="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C31D97"/>
    <w:multiLevelType w:val="hybridMultilevel"/>
    <w:tmpl w:val="9B9AEE9C"/>
    <w:lvl w:ilvl="0" w:tplc="05FCE328">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6976E0C"/>
    <w:multiLevelType w:val="hybridMultilevel"/>
    <w:tmpl w:val="F0DCA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09422B"/>
    <w:multiLevelType w:val="hybridMultilevel"/>
    <w:tmpl w:val="6E4E0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A8C12D9"/>
    <w:multiLevelType w:val="hybridMultilevel"/>
    <w:tmpl w:val="AD2CDE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52D5AAC"/>
    <w:multiLevelType w:val="hybridMultilevel"/>
    <w:tmpl w:val="75A23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95D715B"/>
    <w:multiLevelType w:val="hybridMultilevel"/>
    <w:tmpl w:val="16AAD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B963933"/>
    <w:multiLevelType w:val="hybridMultilevel"/>
    <w:tmpl w:val="8ABA8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F5D0C92"/>
    <w:multiLevelType w:val="hybridMultilevel"/>
    <w:tmpl w:val="D1847364"/>
    <w:lvl w:ilvl="0" w:tplc="FFFFFFFF">
      <w:start w:val="1"/>
      <w:numFmt w:val="decimal"/>
      <w:lvlText w:val="%1."/>
      <w:lvlJc w:val="left"/>
      <w:pPr>
        <w:tabs>
          <w:tab w:val="num" w:pos="340"/>
        </w:tabs>
        <w:ind w:left="340" w:hanging="340"/>
      </w:pPr>
      <w:rPr>
        <w:rFonts w:cs="Times New Roman" w:hint="default"/>
      </w:rPr>
    </w:lvl>
    <w:lvl w:ilvl="1" w:tplc="533487D0">
      <w:start w:val="1"/>
      <w:numFmt w:val="decimal"/>
      <w:lvlText w:val="%2)"/>
      <w:lvlJc w:val="left"/>
      <w:pPr>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44836CA"/>
    <w:multiLevelType w:val="hybridMultilevel"/>
    <w:tmpl w:val="10E0C8C6"/>
    <w:lvl w:ilvl="0" w:tplc="8AEAB0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B56606"/>
    <w:multiLevelType w:val="hybridMultilevel"/>
    <w:tmpl w:val="5E262A86"/>
    <w:lvl w:ilvl="0" w:tplc="AAF4F7E8">
      <w:start w:val="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2B6E8E"/>
    <w:multiLevelType w:val="hybridMultilevel"/>
    <w:tmpl w:val="69344E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3737F8"/>
    <w:multiLevelType w:val="hybridMultilevel"/>
    <w:tmpl w:val="01847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33"/>
  </w:num>
  <w:num w:numId="5">
    <w:abstractNumId w:val="30"/>
  </w:num>
  <w:num w:numId="6">
    <w:abstractNumId w:val="27"/>
  </w:num>
  <w:num w:numId="7">
    <w:abstractNumId w:val="32"/>
  </w:num>
  <w:num w:numId="8">
    <w:abstractNumId w:val="12"/>
  </w:num>
  <w:num w:numId="9">
    <w:abstractNumId w:val="18"/>
  </w:num>
  <w:num w:numId="10">
    <w:abstractNumId w:val="26"/>
  </w:num>
  <w:num w:numId="11">
    <w:abstractNumId w:val="2"/>
  </w:num>
  <w:num w:numId="12">
    <w:abstractNumId w:val="22"/>
  </w:num>
  <w:num w:numId="13">
    <w:abstractNumId w:val="16"/>
  </w:num>
  <w:num w:numId="14">
    <w:abstractNumId w:val="24"/>
  </w:num>
  <w:num w:numId="15">
    <w:abstractNumId w:val="15"/>
  </w:num>
  <w:num w:numId="16">
    <w:abstractNumId w:val="19"/>
  </w:num>
  <w:num w:numId="17">
    <w:abstractNumId w:val="3"/>
  </w:num>
  <w:num w:numId="18">
    <w:abstractNumId w:val="8"/>
  </w:num>
  <w:num w:numId="19">
    <w:abstractNumId w:val="21"/>
  </w:num>
  <w:num w:numId="20">
    <w:abstractNumId w:val="23"/>
  </w:num>
  <w:num w:numId="21">
    <w:abstractNumId w:val="28"/>
  </w:num>
  <w:num w:numId="22">
    <w:abstractNumId w:val="14"/>
  </w:num>
  <w:num w:numId="23">
    <w:abstractNumId w:val="1"/>
  </w:num>
  <w:num w:numId="24">
    <w:abstractNumId w:val="11"/>
  </w:num>
  <w:num w:numId="25">
    <w:abstractNumId w:val="31"/>
  </w:num>
  <w:num w:numId="26">
    <w:abstractNumId w:val="9"/>
  </w:num>
  <w:num w:numId="27">
    <w:abstractNumId w:val="4"/>
  </w:num>
  <w:num w:numId="28">
    <w:abstractNumId w:val="5"/>
  </w:num>
  <w:num w:numId="29">
    <w:abstractNumId w:val="25"/>
  </w:num>
  <w:num w:numId="30">
    <w:abstractNumId w:val="7"/>
  </w:num>
  <w:num w:numId="31">
    <w:abstractNumId w:val="13"/>
  </w:num>
  <w:num w:numId="32">
    <w:abstractNumId w:val="10"/>
  </w:num>
  <w:num w:numId="33">
    <w:abstractNumId w:val="6"/>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04"/>
    <w:rsid w:val="000147A0"/>
    <w:rsid w:val="00071A53"/>
    <w:rsid w:val="00075F9F"/>
    <w:rsid w:val="000872A1"/>
    <w:rsid w:val="000A2F73"/>
    <w:rsid w:val="000C2435"/>
    <w:rsid w:val="000E07CB"/>
    <w:rsid w:val="00131223"/>
    <w:rsid w:val="001416E8"/>
    <w:rsid w:val="001570AE"/>
    <w:rsid w:val="00175E46"/>
    <w:rsid w:val="001933BC"/>
    <w:rsid w:val="001A72E0"/>
    <w:rsid w:val="001B5DA2"/>
    <w:rsid w:val="001B6914"/>
    <w:rsid w:val="001C328A"/>
    <w:rsid w:val="001D5B4A"/>
    <w:rsid w:val="001F103C"/>
    <w:rsid w:val="001F3031"/>
    <w:rsid w:val="00204604"/>
    <w:rsid w:val="00224A32"/>
    <w:rsid w:val="00296C16"/>
    <w:rsid w:val="002A0C40"/>
    <w:rsid w:val="002B342E"/>
    <w:rsid w:val="002C1B3A"/>
    <w:rsid w:val="002C6536"/>
    <w:rsid w:val="002C7CCC"/>
    <w:rsid w:val="002E2603"/>
    <w:rsid w:val="00322BDA"/>
    <w:rsid w:val="003305FE"/>
    <w:rsid w:val="00334004"/>
    <w:rsid w:val="00341F13"/>
    <w:rsid w:val="00346AD8"/>
    <w:rsid w:val="0036197D"/>
    <w:rsid w:val="003800FE"/>
    <w:rsid w:val="003B4BA5"/>
    <w:rsid w:val="003B72A0"/>
    <w:rsid w:val="003B7FE8"/>
    <w:rsid w:val="003C6405"/>
    <w:rsid w:val="003F0369"/>
    <w:rsid w:val="003F795F"/>
    <w:rsid w:val="00412CFF"/>
    <w:rsid w:val="004178CC"/>
    <w:rsid w:val="00425521"/>
    <w:rsid w:val="00447AE5"/>
    <w:rsid w:val="004619E4"/>
    <w:rsid w:val="00472875"/>
    <w:rsid w:val="00485A42"/>
    <w:rsid w:val="00487AFA"/>
    <w:rsid w:val="004A0E71"/>
    <w:rsid w:val="004C4B4C"/>
    <w:rsid w:val="004D3BBF"/>
    <w:rsid w:val="00505115"/>
    <w:rsid w:val="00527A78"/>
    <w:rsid w:val="00536659"/>
    <w:rsid w:val="00542935"/>
    <w:rsid w:val="00560323"/>
    <w:rsid w:val="0056629B"/>
    <w:rsid w:val="00583FBB"/>
    <w:rsid w:val="005A09B2"/>
    <w:rsid w:val="005C686E"/>
    <w:rsid w:val="005E4F2E"/>
    <w:rsid w:val="005F1926"/>
    <w:rsid w:val="005F24E2"/>
    <w:rsid w:val="00602454"/>
    <w:rsid w:val="006318B5"/>
    <w:rsid w:val="00636E41"/>
    <w:rsid w:val="0064194A"/>
    <w:rsid w:val="006B0AF7"/>
    <w:rsid w:val="006C38CF"/>
    <w:rsid w:val="006C39AF"/>
    <w:rsid w:val="006F7173"/>
    <w:rsid w:val="00705FD3"/>
    <w:rsid w:val="00706189"/>
    <w:rsid w:val="007261E1"/>
    <w:rsid w:val="0072682A"/>
    <w:rsid w:val="00783B7D"/>
    <w:rsid w:val="00784A77"/>
    <w:rsid w:val="007A7E47"/>
    <w:rsid w:val="007B29E9"/>
    <w:rsid w:val="007C2897"/>
    <w:rsid w:val="00801D0F"/>
    <w:rsid w:val="00815F0A"/>
    <w:rsid w:val="00815F22"/>
    <w:rsid w:val="008216AF"/>
    <w:rsid w:val="00853900"/>
    <w:rsid w:val="00854562"/>
    <w:rsid w:val="008677AE"/>
    <w:rsid w:val="008A6149"/>
    <w:rsid w:val="008D5B90"/>
    <w:rsid w:val="008E1AEB"/>
    <w:rsid w:val="008E46B4"/>
    <w:rsid w:val="0092260E"/>
    <w:rsid w:val="009233B0"/>
    <w:rsid w:val="00930792"/>
    <w:rsid w:val="00943D67"/>
    <w:rsid w:val="00966FFF"/>
    <w:rsid w:val="00981B05"/>
    <w:rsid w:val="0099022C"/>
    <w:rsid w:val="009B35B4"/>
    <w:rsid w:val="009B79E5"/>
    <w:rsid w:val="009D50C6"/>
    <w:rsid w:val="009F5528"/>
    <w:rsid w:val="00A01F93"/>
    <w:rsid w:val="00A0307E"/>
    <w:rsid w:val="00A05F89"/>
    <w:rsid w:val="00A41005"/>
    <w:rsid w:val="00A51F31"/>
    <w:rsid w:val="00A65061"/>
    <w:rsid w:val="00A77164"/>
    <w:rsid w:val="00A8588D"/>
    <w:rsid w:val="00A93A5D"/>
    <w:rsid w:val="00AA4794"/>
    <w:rsid w:val="00AD0E49"/>
    <w:rsid w:val="00AE33D2"/>
    <w:rsid w:val="00B54378"/>
    <w:rsid w:val="00B71620"/>
    <w:rsid w:val="00B91D19"/>
    <w:rsid w:val="00B97B66"/>
    <w:rsid w:val="00BB3D37"/>
    <w:rsid w:val="00BE7FD6"/>
    <w:rsid w:val="00BF4939"/>
    <w:rsid w:val="00BF754D"/>
    <w:rsid w:val="00C02061"/>
    <w:rsid w:val="00C30F0C"/>
    <w:rsid w:val="00C30FF7"/>
    <w:rsid w:val="00C33B5F"/>
    <w:rsid w:val="00C45DC1"/>
    <w:rsid w:val="00C502FE"/>
    <w:rsid w:val="00C930CB"/>
    <w:rsid w:val="00C95CF3"/>
    <w:rsid w:val="00CD4CFB"/>
    <w:rsid w:val="00CE1924"/>
    <w:rsid w:val="00CE5AEA"/>
    <w:rsid w:val="00CF2F61"/>
    <w:rsid w:val="00D06C8C"/>
    <w:rsid w:val="00D322FC"/>
    <w:rsid w:val="00D4593B"/>
    <w:rsid w:val="00D62F83"/>
    <w:rsid w:val="00D67BF2"/>
    <w:rsid w:val="00DA629C"/>
    <w:rsid w:val="00DA77DA"/>
    <w:rsid w:val="00DC235F"/>
    <w:rsid w:val="00DE7E03"/>
    <w:rsid w:val="00E17DAF"/>
    <w:rsid w:val="00E20270"/>
    <w:rsid w:val="00E27501"/>
    <w:rsid w:val="00E307E4"/>
    <w:rsid w:val="00E50FB8"/>
    <w:rsid w:val="00E86809"/>
    <w:rsid w:val="00EA7C75"/>
    <w:rsid w:val="00EC3377"/>
    <w:rsid w:val="00ED78D4"/>
    <w:rsid w:val="00EE3007"/>
    <w:rsid w:val="00EF1BD1"/>
    <w:rsid w:val="00EF3D65"/>
    <w:rsid w:val="00F224E6"/>
    <w:rsid w:val="00F25C1F"/>
    <w:rsid w:val="00F4774C"/>
    <w:rsid w:val="00F51A2F"/>
    <w:rsid w:val="00F95062"/>
    <w:rsid w:val="00FC5EFE"/>
    <w:rsid w:val="00FD5CD2"/>
    <w:rsid w:val="00FE5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00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4004"/>
    <w:pPr>
      <w:autoSpaceDE w:val="0"/>
      <w:autoSpaceDN w:val="0"/>
      <w:adjustRightInd w:val="0"/>
    </w:pPr>
    <w:rPr>
      <w:rFonts w:ascii="Arial" w:eastAsia="MS Mincho" w:hAnsi="Arial" w:cs="Arial"/>
      <w:color w:val="000000"/>
      <w:sz w:val="24"/>
      <w:szCs w:val="24"/>
      <w:lang w:eastAsia="en-US"/>
    </w:rPr>
  </w:style>
  <w:style w:type="paragraph" w:styleId="Tekstpodstawowy">
    <w:name w:val="Body Text"/>
    <w:basedOn w:val="Normalny"/>
    <w:link w:val="TekstpodstawowyZnak"/>
    <w:uiPriority w:val="99"/>
    <w:semiHidden/>
    <w:rsid w:val="00334004"/>
    <w:pPr>
      <w:autoSpaceDE w:val="0"/>
      <w:autoSpaceDN w:val="0"/>
      <w:adjustRightInd w:val="0"/>
      <w:spacing w:after="0" w:line="360" w:lineRule="auto"/>
      <w:jc w:val="both"/>
    </w:pPr>
    <w:rPr>
      <w:rFonts w:ascii="Times New Roman" w:eastAsia="MS Mincho" w:hAnsi="Times New Roman"/>
      <w:sz w:val="24"/>
      <w:szCs w:val="24"/>
      <w:lang w:eastAsia="pl-PL"/>
    </w:rPr>
  </w:style>
  <w:style w:type="character" w:customStyle="1" w:styleId="TekstpodstawowyZnak">
    <w:name w:val="Tekst podstawowy Znak"/>
    <w:link w:val="Tekstpodstawowy"/>
    <w:uiPriority w:val="99"/>
    <w:semiHidden/>
    <w:rsid w:val="00334004"/>
    <w:rPr>
      <w:rFonts w:ascii="Times New Roman" w:eastAsia="MS Mincho"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36659"/>
    <w:pPr>
      <w:spacing w:after="0" w:line="240" w:lineRule="auto"/>
    </w:pPr>
    <w:rPr>
      <w:sz w:val="20"/>
      <w:szCs w:val="20"/>
    </w:rPr>
  </w:style>
  <w:style w:type="character" w:customStyle="1" w:styleId="TekstprzypisukocowegoZnak">
    <w:name w:val="Tekst przypisu końcowego Znak"/>
    <w:link w:val="Tekstprzypisukocowego"/>
    <w:uiPriority w:val="99"/>
    <w:semiHidden/>
    <w:rsid w:val="00536659"/>
    <w:rPr>
      <w:rFonts w:ascii="Calibri" w:eastAsia="Calibri" w:hAnsi="Calibri" w:cs="Times New Roman"/>
      <w:sz w:val="20"/>
      <w:szCs w:val="20"/>
    </w:rPr>
  </w:style>
  <w:style w:type="character" w:styleId="Odwoanieprzypisukocowego">
    <w:name w:val="endnote reference"/>
    <w:uiPriority w:val="99"/>
    <w:semiHidden/>
    <w:unhideWhenUsed/>
    <w:rsid w:val="00536659"/>
    <w:rPr>
      <w:vertAlign w:val="superscript"/>
    </w:rPr>
  </w:style>
  <w:style w:type="paragraph" w:styleId="Nagwek">
    <w:name w:val="header"/>
    <w:basedOn w:val="Normalny"/>
    <w:link w:val="NagwekZnak"/>
    <w:uiPriority w:val="99"/>
    <w:unhideWhenUsed/>
    <w:rsid w:val="00536659"/>
    <w:pPr>
      <w:tabs>
        <w:tab w:val="center" w:pos="4536"/>
        <w:tab w:val="right" w:pos="9072"/>
      </w:tabs>
      <w:spacing w:after="0" w:line="240" w:lineRule="auto"/>
    </w:pPr>
  </w:style>
  <w:style w:type="character" w:customStyle="1" w:styleId="NagwekZnak">
    <w:name w:val="Nagłówek Znak"/>
    <w:link w:val="Nagwek"/>
    <w:uiPriority w:val="99"/>
    <w:rsid w:val="00536659"/>
    <w:rPr>
      <w:rFonts w:ascii="Calibri" w:eastAsia="Calibri" w:hAnsi="Calibri" w:cs="Times New Roman"/>
    </w:rPr>
  </w:style>
  <w:style w:type="paragraph" w:styleId="Stopka">
    <w:name w:val="footer"/>
    <w:basedOn w:val="Normalny"/>
    <w:link w:val="StopkaZnak"/>
    <w:uiPriority w:val="99"/>
    <w:unhideWhenUsed/>
    <w:rsid w:val="00536659"/>
    <w:pPr>
      <w:tabs>
        <w:tab w:val="center" w:pos="4536"/>
        <w:tab w:val="right" w:pos="9072"/>
      </w:tabs>
      <w:spacing w:after="0" w:line="240" w:lineRule="auto"/>
    </w:pPr>
  </w:style>
  <w:style w:type="character" w:customStyle="1" w:styleId="StopkaZnak">
    <w:name w:val="Stopka Znak"/>
    <w:link w:val="Stopka"/>
    <w:uiPriority w:val="99"/>
    <w:rsid w:val="00536659"/>
    <w:rPr>
      <w:rFonts w:ascii="Calibri" w:eastAsia="Calibri" w:hAnsi="Calibri" w:cs="Times New Roman"/>
    </w:rPr>
  </w:style>
  <w:style w:type="paragraph" w:styleId="Tekstblokowy">
    <w:name w:val="Block Text"/>
    <w:basedOn w:val="Normalny"/>
    <w:rsid w:val="00FC5EFE"/>
    <w:pPr>
      <w:spacing w:after="0" w:line="240" w:lineRule="auto"/>
      <w:ind w:left="1416" w:right="850"/>
      <w:jc w:val="center"/>
    </w:pPr>
    <w:rPr>
      <w:rFonts w:ascii="Times New Roman" w:eastAsia="Times New Roman" w:hAnsi="Times New Roman"/>
      <w:b/>
      <w:sz w:val="24"/>
      <w:szCs w:val="20"/>
      <w:lang w:eastAsia="pl-PL"/>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FC5EFE"/>
    <w:pPr>
      <w:widowControl w:val="0"/>
      <w:suppressAutoHyphens/>
      <w:spacing w:after="0" w:line="240" w:lineRule="auto"/>
      <w:ind w:left="720"/>
      <w:contextualSpacing/>
    </w:pPr>
    <w:rPr>
      <w:rFonts w:ascii="Thorndale" w:eastAsia="HG Mincho Light J" w:hAnsi="Thorndale"/>
      <w:color w:val="000000"/>
      <w:sz w:val="24"/>
      <w:szCs w:val="20"/>
      <w:lang w:eastAsia="pl-PL"/>
    </w:rPr>
  </w:style>
  <w:style w:type="character" w:styleId="Hipercze">
    <w:name w:val="Hyperlink"/>
    <w:basedOn w:val="Domylnaczcionkaakapitu"/>
    <w:uiPriority w:val="99"/>
    <w:unhideWhenUsed/>
    <w:rsid w:val="00B71620"/>
    <w:rPr>
      <w:color w:val="0563C1" w:themeColor="hyperlink"/>
      <w:u w:val="single"/>
    </w:rPr>
  </w:style>
  <w:style w:type="character" w:customStyle="1" w:styleId="Nierozpoznanawzmianka1">
    <w:name w:val="Nierozpoznana wzmianka1"/>
    <w:basedOn w:val="Domylnaczcionkaakapitu"/>
    <w:uiPriority w:val="99"/>
    <w:semiHidden/>
    <w:unhideWhenUsed/>
    <w:rsid w:val="00B71620"/>
    <w:rPr>
      <w:color w:val="605E5C"/>
      <w:shd w:val="clear" w:color="auto" w:fill="E1DFDD"/>
    </w:rPr>
  </w:style>
  <w:style w:type="paragraph" w:styleId="Tekstprzypisudolnego">
    <w:name w:val="footnote text"/>
    <w:basedOn w:val="Normalny"/>
    <w:link w:val="TekstprzypisudolnegoZnak"/>
    <w:uiPriority w:val="99"/>
    <w:semiHidden/>
    <w:unhideWhenUsed/>
    <w:rsid w:val="00B71620"/>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B71620"/>
    <w:rPr>
      <w:rFonts w:ascii="Times New Roman" w:eastAsia="SimSun" w:hAnsi="Times New Roman" w:cs="Mangal"/>
      <w:kern w:val="3"/>
      <w:szCs w:val="18"/>
      <w:lang w:eastAsia="zh-CN" w:bidi="hi-IN"/>
    </w:rPr>
  </w:style>
  <w:style w:type="character" w:styleId="Odwoanieprzypisudolnego">
    <w:name w:val="footnote reference"/>
    <w:uiPriority w:val="99"/>
    <w:semiHidden/>
    <w:unhideWhenUsed/>
    <w:rsid w:val="00B71620"/>
    <w:rPr>
      <w:vertAlign w:val="superscript"/>
    </w:rPr>
  </w:style>
  <w:style w:type="character" w:customStyle="1" w:styleId="markedcontent">
    <w:name w:val="markedcontent"/>
    <w:basedOn w:val="Domylnaczcionkaakapitu"/>
    <w:rsid w:val="00296C16"/>
  </w:style>
  <w:style w:type="table" w:styleId="Tabela-Siatka">
    <w:name w:val="Table Grid"/>
    <w:basedOn w:val="Standardowy"/>
    <w:uiPriority w:val="39"/>
    <w:rsid w:val="00296C1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8677AE"/>
    <w:pPr>
      <w:spacing w:after="0" w:line="240" w:lineRule="auto"/>
    </w:pPr>
    <w:rPr>
      <w:rFonts w:eastAsiaTheme="minorHAnsi" w:cs="Calibri"/>
      <w:lang w:eastAsia="pl-PL"/>
    </w:rPr>
  </w:style>
  <w:style w:type="character" w:styleId="Odwoaniedokomentarza">
    <w:name w:val="annotation reference"/>
    <w:basedOn w:val="Domylnaczcionkaakapitu"/>
    <w:uiPriority w:val="99"/>
    <w:semiHidden/>
    <w:unhideWhenUsed/>
    <w:rsid w:val="001F3031"/>
    <w:rPr>
      <w:sz w:val="16"/>
      <w:szCs w:val="16"/>
    </w:rPr>
  </w:style>
  <w:style w:type="paragraph" w:styleId="Tekstkomentarza">
    <w:name w:val="annotation text"/>
    <w:basedOn w:val="Normalny"/>
    <w:link w:val="TekstkomentarzaZnak"/>
    <w:uiPriority w:val="99"/>
    <w:semiHidden/>
    <w:unhideWhenUsed/>
    <w:rsid w:val="001F30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3031"/>
    <w:rPr>
      <w:lang w:eastAsia="en-US"/>
    </w:rPr>
  </w:style>
  <w:style w:type="paragraph" w:styleId="Tematkomentarza">
    <w:name w:val="annotation subject"/>
    <w:basedOn w:val="Tekstkomentarza"/>
    <w:next w:val="Tekstkomentarza"/>
    <w:link w:val="TematkomentarzaZnak"/>
    <w:uiPriority w:val="99"/>
    <w:semiHidden/>
    <w:unhideWhenUsed/>
    <w:rsid w:val="001F3031"/>
    <w:rPr>
      <w:b/>
      <w:bCs/>
    </w:rPr>
  </w:style>
  <w:style w:type="character" w:customStyle="1" w:styleId="TematkomentarzaZnak">
    <w:name w:val="Temat komentarza Znak"/>
    <w:basedOn w:val="TekstkomentarzaZnak"/>
    <w:link w:val="Tematkomentarza"/>
    <w:uiPriority w:val="99"/>
    <w:semiHidden/>
    <w:rsid w:val="001F3031"/>
    <w:rPr>
      <w:b/>
      <w:bCs/>
      <w:lang w:eastAsia="en-US"/>
    </w:rPr>
  </w:style>
  <w:style w:type="paragraph" w:styleId="Tekstdymka">
    <w:name w:val="Balloon Text"/>
    <w:basedOn w:val="Normalny"/>
    <w:link w:val="TekstdymkaZnak"/>
    <w:uiPriority w:val="99"/>
    <w:semiHidden/>
    <w:unhideWhenUsed/>
    <w:rsid w:val="00505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115"/>
    <w:rPr>
      <w:rFonts w:ascii="Tahoma" w:hAnsi="Tahoma" w:cs="Tahoma"/>
      <w:sz w:val="16"/>
      <w:szCs w:val="16"/>
      <w:lang w:eastAsia="en-US"/>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583FBB"/>
    <w:rPr>
      <w:rFonts w:ascii="Thorndale" w:eastAsia="HG Mincho Light J" w:hAnsi="Thorndale"/>
      <w:color w:val="000000"/>
      <w:sz w:val="24"/>
    </w:rPr>
  </w:style>
  <w:style w:type="character" w:customStyle="1" w:styleId="articleseperator">
    <w:name w:val="article_seperator"/>
    <w:rsid w:val="008D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00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4004"/>
    <w:pPr>
      <w:autoSpaceDE w:val="0"/>
      <w:autoSpaceDN w:val="0"/>
      <w:adjustRightInd w:val="0"/>
    </w:pPr>
    <w:rPr>
      <w:rFonts w:ascii="Arial" w:eastAsia="MS Mincho" w:hAnsi="Arial" w:cs="Arial"/>
      <w:color w:val="000000"/>
      <w:sz w:val="24"/>
      <w:szCs w:val="24"/>
      <w:lang w:eastAsia="en-US"/>
    </w:rPr>
  </w:style>
  <w:style w:type="paragraph" w:styleId="Tekstpodstawowy">
    <w:name w:val="Body Text"/>
    <w:basedOn w:val="Normalny"/>
    <w:link w:val="TekstpodstawowyZnak"/>
    <w:uiPriority w:val="99"/>
    <w:semiHidden/>
    <w:rsid w:val="00334004"/>
    <w:pPr>
      <w:autoSpaceDE w:val="0"/>
      <w:autoSpaceDN w:val="0"/>
      <w:adjustRightInd w:val="0"/>
      <w:spacing w:after="0" w:line="360" w:lineRule="auto"/>
      <w:jc w:val="both"/>
    </w:pPr>
    <w:rPr>
      <w:rFonts w:ascii="Times New Roman" w:eastAsia="MS Mincho" w:hAnsi="Times New Roman"/>
      <w:sz w:val="24"/>
      <w:szCs w:val="24"/>
      <w:lang w:eastAsia="pl-PL"/>
    </w:rPr>
  </w:style>
  <w:style w:type="character" w:customStyle="1" w:styleId="TekstpodstawowyZnak">
    <w:name w:val="Tekst podstawowy Znak"/>
    <w:link w:val="Tekstpodstawowy"/>
    <w:uiPriority w:val="99"/>
    <w:semiHidden/>
    <w:rsid w:val="00334004"/>
    <w:rPr>
      <w:rFonts w:ascii="Times New Roman" w:eastAsia="MS Mincho"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36659"/>
    <w:pPr>
      <w:spacing w:after="0" w:line="240" w:lineRule="auto"/>
    </w:pPr>
    <w:rPr>
      <w:sz w:val="20"/>
      <w:szCs w:val="20"/>
    </w:rPr>
  </w:style>
  <w:style w:type="character" w:customStyle="1" w:styleId="TekstprzypisukocowegoZnak">
    <w:name w:val="Tekst przypisu końcowego Znak"/>
    <w:link w:val="Tekstprzypisukocowego"/>
    <w:uiPriority w:val="99"/>
    <w:semiHidden/>
    <w:rsid w:val="00536659"/>
    <w:rPr>
      <w:rFonts w:ascii="Calibri" w:eastAsia="Calibri" w:hAnsi="Calibri" w:cs="Times New Roman"/>
      <w:sz w:val="20"/>
      <w:szCs w:val="20"/>
    </w:rPr>
  </w:style>
  <w:style w:type="character" w:styleId="Odwoanieprzypisukocowego">
    <w:name w:val="endnote reference"/>
    <w:uiPriority w:val="99"/>
    <w:semiHidden/>
    <w:unhideWhenUsed/>
    <w:rsid w:val="00536659"/>
    <w:rPr>
      <w:vertAlign w:val="superscript"/>
    </w:rPr>
  </w:style>
  <w:style w:type="paragraph" w:styleId="Nagwek">
    <w:name w:val="header"/>
    <w:basedOn w:val="Normalny"/>
    <w:link w:val="NagwekZnak"/>
    <w:uiPriority w:val="99"/>
    <w:unhideWhenUsed/>
    <w:rsid w:val="00536659"/>
    <w:pPr>
      <w:tabs>
        <w:tab w:val="center" w:pos="4536"/>
        <w:tab w:val="right" w:pos="9072"/>
      </w:tabs>
      <w:spacing w:after="0" w:line="240" w:lineRule="auto"/>
    </w:pPr>
  </w:style>
  <w:style w:type="character" w:customStyle="1" w:styleId="NagwekZnak">
    <w:name w:val="Nagłówek Znak"/>
    <w:link w:val="Nagwek"/>
    <w:uiPriority w:val="99"/>
    <w:rsid w:val="00536659"/>
    <w:rPr>
      <w:rFonts w:ascii="Calibri" w:eastAsia="Calibri" w:hAnsi="Calibri" w:cs="Times New Roman"/>
    </w:rPr>
  </w:style>
  <w:style w:type="paragraph" w:styleId="Stopka">
    <w:name w:val="footer"/>
    <w:basedOn w:val="Normalny"/>
    <w:link w:val="StopkaZnak"/>
    <w:uiPriority w:val="99"/>
    <w:unhideWhenUsed/>
    <w:rsid w:val="00536659"/>
    <w:pPr>
      <w:tabs>
        <w:tab w:val="center" w:pos="4536"/>
        <w:tab w:val="right" w:pos="9072"/>
      </w:tabs>
      <w:spacing w:after="0" w:line="240" w:lineRule="auto"/>
    </w:pPr>
  </w:style>
  <w:style w:type="character" w:customStyle="1" w:styleId="StopkaZnak">
    <w:name w:val="Stopka Znak"/>
    <w:link w:val="Stopka"/>
    <w:uiPriority w:val="99"/>
    <w:rsid w:val="00536659"/>
    <w:rPr>
      <w:rFonts w:ascii="Calibri" w:eastAsia="Calibri" w:hAnsi="Calibri" w:cs="Times New Roman"/>
    </w:rPr>
  </w:style>
  <w:style w:type="paragraph" w:styleId="Tekstblokowy">
    <w:name w:val="Block Text"/>
    <w:basedOn w:val="Normalny"/>
    <w:rsid w:val="00FC5EFE"/>
    <w:pPr>
      <w:spacing w:after="0" w:line="240" w:lineRule="auto"/>
      <w:ind w:left="1416" w:right="850"/>
      <w:jc w:val="center"/>
    </w:pPr>
    <w:rPr>
      <w:rFonts w:ascii="Times New Roman" w:eastAsia="Times New Roman" w:hAnsi="Times New Roman"/>
      <w:b/>
      <w:sz w:val="24"/>
      <w:szCs w:val="20"/>
      <w:lang w:eastAsia="pl-PL"/>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FC5EFE"/>
    <w:pPr>
      <w:widowControl w:val="0"/>
      <w:suppressAutoHyphens/>
      <w:spacing w:after="0" w:line="240" w:lineRule="auto"/>
      <w:ind w:left="720"/>
      <w:contextualSpacing/>
    </w:pPr>
    <w:rPr>
      <w:rFonts w:ascii="Thorndale" w:eastAsia="HG Mincho Light J" w:hAnsi="Thorndale"/>
      <w:color w:val="000000"/>
      <w:sz w:val="24"/>
      <w:szCs w:val="20"/>
      <w:lang w:eastAsia="pl-PL"/>
    </w:rPr>
  </w:style>
  <w:style w:type="character" w:styleId="Hipercze">
    <w:name w:val="Hyperlink"/>
    <w:basedOn w:val="Domylnaczcionkaakapitu"/>
    <w:uiPriority w:val="99"/>
    <w:unhideWhenUsed/>
    <w:rsid w:val="00B71620"/>
    <w:rPr>
      <w:color w:val="0563C1" w:themeColor="hyperlink"/>
      <w:u w:val="single"/>
    </w:rPr>
  </w:style>
  <w:style w:type="character" w:customStyle="1" w:styleId="Nierozpoznanawzmianka1">
    <w:name w:val="Nierozpoznana wzmianka1"/>
    <w:basedOn w:val="Domylnaczcionkaakapitu"/>
    <w:uiPriority w:val="99"/>
    <w:semiHidden/>
    <w:unhideWhenUsed/>
    <w:rsid w:val="00B71620"/>
    <w:rPr>
      <w:color w:val="605E5C"/>
      <w:shd w:val="clear" w:color="auto" w:fill="E1DFDD"/>
    </w:rPr>
  </w:style>
  <w:style w:type="paragraph" w:styleId="Tekstprzypisudolnego">
    <w:name w:val="footnote text"/>
    <w:basedOn w:val="Normalny"/>
    <w:link w:val="TekstprzypisudolnegoZnak"/>
    <w:uiPriority w:val="99"/>
    <w:semiHidden/>
    <w:unhideWhenUsed/>
    <w:rsid w:val="00B71620"/>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B71620"/>
    <w:rPr>
      <w:rFonts w:ascii="Times New Roman" w:eastAsia="SimSun" w:hAnsi="Times New Roman" w:cs="Mangal"/>
      <w:kern w:val="3"/>
      <w:szCs w:val="18"/>
      <w:lang w:eastAsia="zh-CN" w:bidi="hi-IN"/>
    </w:rPr>
  </w:style>
  <w:style w:type="character" w:styleId="Odwoanieprzypisudolnego">
    <w:name w:val="footnote reference"/>
    <w:uiPriority w:val="99"/>
    <w:semiHidden/>
    <w:unhideWhenUsed/>
    <w:rsid w:val="00B71620"/>
    <w:rPr>
      <w:vertAlign w:val="superscript"/>
    </w:rPr>
  </w:style>
  <w:style w:type="character" w:customStyle="1" w:styleId="markedcontent">
    <w:name w:val="markedcontent"/>
    <w:basedOn w:val="Domylnaczcionkaakapitu"/>
    <w:rsid w:val="00296C16"/>
  </w:style>
  <w:style w:type="table" w:styleId="Tabela-Siatka">
    <w:name w:val="Table Grid"/>
    <w:basedOn w:val="Standardowy"/>
    <w:uiPriority w:val="39"/>
    <w:rsid w:val="00296C1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8677AE"/>
    <w:pPr>
      <w:spacing w:after="0" w:line="240" w:lineRule="auto"/>
    </w:pPr>
    <w:rPr>
      <w:rFonts w:eastAsiaTheme="minorHAnsi" w:cs="Calibri"/>
      <w:lang w:eastAsia="pl-PL"/>
    </w:rPr>
  </w:style>
  <w:style w:type="character" w:styleId="Odwoaniedokomentarza">
    <w:name w:val="annotation reference"/>
    <w:basedOn w:val="Domylnaczcionkaakapitu"/>
    <w:uiPriority w:val="99"/>
    <w:semiHidden/>
    <w:unhideWhenUsed/>
    <w:rsid w:val="001F3031"/>
    <w:rPr>
      <w:sz w:val="16"/>
      <w:szCs w:val="16"/>
    </w:rPr>
  </w:style>
  <w:style w:type="paragraph" w:styleId="Tekstkomentarza">
    <w:name w:val="annotation text"/>
    <w:basedOn w:val="Normalny"/>
    <w:link w:val="TekstkomentarzaZnak"/>
    <w:uiPriority w:val="99"/>
    <w:semiHidden/>
    <w:unhideWhenUsed/>
    <w:rsid w:val="001F30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3031"/>
    <w:rPr>
      <w:lang w:eastAsia="en-US"/>
    </w:rPr>
  </w:style>
  <w:style w:type="paragraph" w:styleId="Tematkomentarza">
    <w:name w:val="annotation subject"/>
    <w:basedOn w:val="Tekstkomentarza"/>
    <w:next w:val="Tekstkomentarza"/>
    <w:link w:val="TematkomentarzaZnak"/>
    <w:uiPriority w:val="99"/>
    <w:semiHidden/>
    <w:unhideWhenUsed/>
    <w:rsid w:val="001F3031"/>
    <w:rPr>
      <w:b/>
      <w:bCs/>
    </w:rPr>
  </w:style>
  <w:style w:type="character" w:customStyle="1" w:styleId="TematkomentarzaZnak">
    <w:name w:val="Temat komentarza Znak"/>
    <w:basedOn w:val="TekstkomentarzaZnak"/>
    <w:link w:val="Tematkomentarza"/>
    <w:uiPriority w:val="99"/>
    <w:semiHidden/>
    <w:rsid w:val="001F3031"/>
    <w:rPr>
      <w:b/>
      <w:bCs/>
      <w:lang w:eastAsia="en-US"/>
    </w:rPr>
  </w:style>
  <w:style w:type="paragraph" w:styleId="Tekstdymka">
    <w:name w:val="Balloon Text"/>
    <w:basedOn w:val="Normalny"/>
    <w:link w:val="TekstdymkaZnak"/>
    <w:uiPriority w:val="99"/>
    <w:semiHidden/>
    <w:unhideWhenUsed/>
    <w:rsid w:val="00505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115"/>
    <w:rPr>
      <w:rFonts w:ascii="Tahoma" w:hAnsi="Tahoma" w:cs="Tahoma"/>
      <w:sz w:val="16"/>
      <w:szCs w:val="16"/>
      <w:lang w:eastAsia="en-US"/>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583FBB"/>
    <w:rPr>
      <w:rFonts w:ascii="Thorndale" w:eastAsia="HG Mincho Light J" w:hAnsi="Thorndale"/>
      <w:color w:val="000000"/>
      <w:sz w:val="24"/>
    </w:rPr>
  </w:style>
  <w:style w:type="character" w:customStyle="1" w:styleId="articleseperator">
    <w:name w:val="article_seperator"/>
    <w:rsid w:val="008D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0913">
      <w:bodyDiv w:val="1"/>
      <w:marLeft w:val="0"/>
      <w:marRight w:val="0"/>
      <w:marTop w:val="0"/>
      <w:marBottom w:val="0"/>
      <w:divBdr>
        <w:top w:val="none" w:sz="0" w:space="0" w:color="auto"/>
        <w:left w:val="none" w:sz="0" w:space="0" w:color="auto"/>
        <w:bottom w:val="none" w:sz="0" w:space="0" w:color="auto"/>
        <w:right w:val="none" w:sz="0" w:space="0" w:color="auto"/>
      </w:divBdr>
    </w:div>
    <w:div w:id="901674985">
      <w:bodyDiv w:val="1"/>
      <w:marLeft w:val="0"/>
      <w:marRight w:val="0"/>
      <w:marTop w:val="0"/>
      <w:marBottom w:val="0"/>
      <w:divBdr>
        <w:top w:val="none" w:sz="0" w:space="0" w:color="auto"/>
        <w:left w:val="none" w:sz="0" w:space="0" w:color="auto"/>
        <w:bottom w:val="none" w:sz="0" w:space="0" w:color="auto"/>
        <w:right w:val="none" w:sz="0" w:space="0" w:color="auto"/>
      </w:divBdr>
    </w:div>
    <w:div w:id="923219026">
      <w:bodyDiv w:val="1"/>
      <w:marLeft w:val="0"/>
      <w:marRight w:val="0"/>
      <w:marTop w:val="0"/>
      <w:marBottom w:val="0"/>
      <w:divBdr>
        <w:top w:val="none" w:sz="0" w:space="0" w:color="auto"/>
        <w:left w:val="none" w:sz="0" w:space="0" w:color="auto"/>
        <w:bottom w:val="none" w:sz="0" w:space="0" w:color="auto"/>
        <w:right w:val="none" w:sz="0" w:space="0" w:color="auto"/>
      </w:divBdr>
    </w:div>
    <w:div w:id="1762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high_end_cpu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pubenchmark.net/high_end_cpus.html" TargetMode="External"/><Relationship Id="rId4" Type="http://schemas.microsoft.com/office/2007/relationships/stylesWithEffects" Target="stylesWithEffects.xml"/><Relationship Id="rId9" Type="http://schemas.openxmlformats.org/officeDocument/2006/relationships/hyperlink" Target="https://www.cpubenchmark.net/high_end_cpu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174E-BA41-4453-8467-22A71C2A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12908</Words>
  <Characters>77452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90180</CharactersWithSpaces>
  <SharedDoc>false</SharedDoc>
  <HLinks>
    <vt:vector size="12" baseType="variant">
      <vt:variant>
        <vt:i4>655394</vt:i4>
      </vt:variant>
      <vt:variant>
        <vt:i4>3</vt:i4>
      </vt:variant>
      <vt:variant>
        <vt:i4>0</vt:i4>
      </vt:variant>
      <vt:variant>
        <vt:i4>5</vt:i4>
      </vt:variant>
      <vt:variant>
        <vt:lpwstr>mailto:biuro@neoenergetyka.pl</vt:lpwstr>
      </vt:variant>
      <vt:variant>
        <vt:lpwstr/>
      </vt:variant>
      <vt:variant>
        <vt:i4>2621499</vt:i4>
      </vt:variant>
      <vt:variant>
        <vt:i4>0</vt:i4>
      </vt:variant>
      <vt:variant>
        <vt:i4>0</vt:i4>
      </vt:variant>
      <vt:variant>
        <vt:i4>5</vt:i4>
      </vt:variant>
      <vt:variant>
        <vt:lpwstr>http://www.ugradzanow.com/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Czarnecki</dc:creator>
  <cp:keywords/>
  <cp:lastModifiedBy>Ogrodowczyk</cp:lastModifiedBy>
  <cp:revision>7</cp:revision>
  <dcterms:created xsi:type="dcterms:W3CDTF">2022-08-18T13:41:00Z</dcterms:created>
  <dcterms:modified xsi:type="dcterms:W3CDTF">2022-08-19T08:01:00Z</dcterms:modified>
</cp:coreProperties>
</file>