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0480" w14:textId="77777777" w:rsidR="008B0D04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3986BAB6" wp14:editId="00B5BAA7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56C646AC" wp14:editId="0F92228F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09764" w14:textId="77777777" w:rsidR="00317629" w:rsidRDefault="00317629"/>
    <w:p w14:paraId="02787AF9" w14:textId="77777777" w:rsidR="00BA4A59" w:rsidRDefault="00BA4A59" w:rsidP="00BA4A59">
      <w:pPr>
        <w:jc w:val="right"/>
        <w:rPr>
          <w:rFonts w:ascii="Palatino Linotype" w:hAnsi="Palatino Linotype" w:cs="Calibri"/>
          <w:color w:val="000000" w:themeColor="text1"/>
          <w:sz w:val="20"/>
          <w:szCs w:val="20"/>
        </w:rPr>
      </w:pPr>
    </w:p>
    <w:p w14:paraId="63124E5D" w14:textId="352EA49F" w:rsidR="00BA4A59" w:rsidRPr="004231F8" w:rsidRDefault="00BA4A59" w:rsidP="00BA4A59">
      <w:pPr>
        <w:jc w:val="right"/>
        <w:rPr>
          <w:rFonts w:ascii="Palatino Linotype" w:hAnsi="Palatino Linotype" w:cs="Calibri"/>
          <w:color w:val="000000" w:themeColor="text1"/>
          <w:sz w:val="20"/>
          <w:szCs w:val="20"/>
        </w:rPr>
      </w:pPr>
      <w:r>
        <w:rPr>
          <w:rFonts w:ascii="Palatino Linotype" w:hAnsi="Palatino Linotype" w:cs="Calibri"/>
          <w:color w:val="000000" w:themeColor="text1"/>
          <w:sz w:val="20"/>
          <w:szCs w:val="20"/>
        </w:rPr>
        <w:t>Milicz</w:t>
      </w:r>
      <w:r w:rsidRPr="004231F8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, </w:t>
      </w:r>
      <w:r w:rsidRPr="008F429D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dnia </w:t>
      </w:r>
      <w:r w:rsidR="006933CA">
        <w:rPr>
          <w:rFonts w:ascii="Palatino Linotype" w:hAnsi="Palatino Linotype" w:cs="Calibri"/>
          <w:color w:val="000000" w:themeColor="text1"/>
          <w:sz w:val="20"/>
          <w:szCs w:val="20"/>
        </w:rPr>
        <w:t>24</w:t>
      </w:r>
      <w:r>
        <w:rPr>
          <w:rFonts w:ascii="Palatino Linotype" w:hAnsi="Palatino Linotype" w:cs="Calibri"/>
          <w:color w:val="000000" w:themeColor="text1"/>
          <w:sz w:val="20"/>
          <w:szCs w:val="20"/>
        </w:rPr>
        <w:t>.08.202</w:t>
      </w:r>
      <w:r w:rsidR="006933CA">
        <w:rPr>
          <w:rFonts w:ascii="Palatino Linotype" w:hAnsi="Palatino Linotype" w:cs="Calibri"/>
          <w:color w:val="000000" w:themeColor="text1"/>
          <w:sz w:val="20"/>
          <w:szCs w:val="20"/>
        </w:rPr>
        <w:t>3</w:t>
      </w:r>
      <w:r w:rsidRPr="00207F05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r.</w:t>
      </w:r>
      <w:r w:rsidRPr="008F429D"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  <w:tab/>
      </w:r>
    </w:p>
    <w:p w14:paraId="5055308F" w14:textId="77777777" w:rsidR="00BA4A59" w:rsidRDefault="00BA4A59" w:rsidP="00BA4A59">
      <w:pPr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</w:p>
    <w:p w14:paraId="6F34C892" w14:textId="77777777" w:rsidR="00BA4A59" w:rsidRPr="008213F5" w:rsidRDefault="00BA4A59" w:rsidP="00BA4A59">
      <w:pPr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</w:p>
    <w:p w14:paraId="56FF7516" w14:textId="77777777" w:rsidR="00BA4A59" w:rsidRPr="008213F5" w:rsidRDefault="00BA4A59" w:rsidP="00BA4A59">
      <w:pPr>
        <w:jc w:val="center"/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  <w:r w:rsidRPr="008213F5"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  <w:t xml:space="preserve">WYJAŚNIENIA TREŚCI SWZ </w:t>
      </w:r>
    </w:p>
    <w:p w14:paraId="213BA423" w14:textId="77777777" w:rsidR="00BA4A59" w:rsidRPr="004231F8" w:rsidRDefault="00BA4A59" w:rsidP="00BA4A59">
      <w:pPr>
        <w:jc w:val="center"/>
        <w:rPr>
          <w:rFonts w:ascii="Palatino Linotype" w:hAnsi="Palatino Linotype" w:cs="Calibri"/>
          <w:b/>
          <w:bCs/>
          <w:sz w:val="20"/>
          <w:szCs w:val="20"/>
        </w:rPr>
      </w:pPr>
    </w:p>
    <w:p w14:paraId="17D9E70D" w14:textId="0135608F" w:rsidR="00BA4A59" w:rsidRPr="00A443FE" w:rsidRDefault="00BA4A59" w:rsidP="00BA4A59">
      <w:pPr>
        <w:rPr>
          <w:rFonts w:ascii="Palatino Linotype" w:hAnsi="Palatino Linotype" w:cs="Calibri"/>
          <w:b/>
          <w:color w:val="000000"/>
          <w:sz w:val="20"/>
          <w:szCs w:val="20"/>
        </w:rPr>
      </w:pPr>
      <w:r w:rsidRPr="00A90DC1">
        <w:rPr>
          <w:rFonts w:ascii="Palatino Linotype" w:hAnsi="Palatino Linotype"/>
          <w:sz w:val="20"/>
          <w:szCs w:val="20"/>
        </w:rPr>
        <w:t>Dot. postępowania o udzielenie zamówienia publicznego pn</w:t>
      </w:r>
      <w:r w:rsidR="006933CA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BA4A59">
        <w:rPr>
          <w:rFonts w:ascii="Palatino Linotype" w:hAnsi="Palatino Linotype"/>
          <w:sz w:val="20"/>
          <w:szCs w:val="20"/>
        </w:rPr>
        <w:t>„Sukcesywny, bezgotówkowy zakup paliw do pojazdów służbowych oraz sprzętu zmechanizowanego i technicznego Zamawiającego"</w:t>
      </w:r>
      <w:r>
        <w:rPr>
          <w:rFonts w:ascii="Palatino Linotype" w:hAnsi="Palatino Linotype"/>
          <w:sz w:val="20"/>
          <w:szCs w:val="20"/>
        </w:rPr>
        <w:t xml:space="preserve"> – nr ref. ZP-</w:t>
      </w:r>
      <w:r w:rsidR="00A33112">
        <w:rPr>
          <w:rFonts w:ascii="Palatino Linotype" w:hAnsi="Palatino Linotype"/>
          <w:sz w:val="20"/>
          <w:szCs w:val="20"/>
        </w:rPr>
        <w:t>64</w:t>
      </w:r>
      <w:r>
        <w:rPr>
          <w:rFonts w:ascii="Palatino Linotype" w:hAnsi="Palatino Linotype"/>
          <w:sz w:val="20"/>
          <w:szCs w:val="20"/>
        </w:rPr>
        <w:t>/</w:t>
      </w:r>
      <w:r w:rsidR="00A33112">
        <w:rPr>
          <w:rFonts w:ascii="Palatino Linotype" w:hAnsi="Palatino Linotype"/>
          <w:sz w:val="20"/>
          <w:szCs w:val="20"/>
        </w:rPr>
        <w:t>TP</w:t>
      </w:r>
      <w:r>
        <w:rPr>
          <w:rFonts w:ascii="Palatino Linotype" w:hAnsi="Palatino Linotype"/>
          <w:sz w:val="20"/>
          <w:szCs w:val="20"/>
        </w:rPr>
        <w:t>/P</w:t>
      </w:r>
      <w:r w:rsidR="00A33112">
        <w:rPr>
          <w:rFonts w:ascii="Palatino Linotype" w:hAnsi="Palatino Linotype"/>
          <w:sz w:val="20"/>
          <w:szCs w:val="20"/>
        </w:rPr>
        <w:t>GK</w:t>
      </w:r>
      <w:r>
        <w:rPr>
          <w:rFonts w:ascii="Palatino Linotype" w:hAnsi="Palatino Linotype"/>
          <w:sz w:val="20"/>
          <w:szCs w:val="20"/>
        </w:rPr>
        <w:t>/2022</w:t>
      </w:r>
    </w:p>
    <w:p w14:paraId="1D819E77" w14:textId="38551CF2" w:rsidR="00BA4A59" w:rsidRDefault="00BA4A59" w:rsidP="00BA4A59">
      <w:pPr>
        <w:tabs>
          <w:tab w:val="left" w:pos="2268"/>
        </w:tabs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 xml:space="preserve">PGK „Dolina Baryczy” sp. z o.o. w Miliczu </w:t>
      </w:r>
      <w:r w:rsidRPr="00A443FE">
        <w:rPr>
          <w:rFonts w:ascii="Palatino Linotype" w:hAnsi="Palatino Linotype"/>
          <w:color w:val="000000" w:themeColor="text1"/>
          <w:sz w:val="20"/>
          <w:szCs w:val="20"/>
        </w:rPr>
        <w:t>(Zamawiający) działając zgodnie z art. 284 ust.</w:t>
      </w:r>
      <w:r w:rsidRPr="00A443FE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Pr="000E4657">
        <w:rPr>
          <w:rFonts w:ascii="Palatino Linotype" w:hAnsi="Palatino Linotype"/>
          <w:color w:val="000000" w:themeColor="text1"/>
          <w:sz w:val="20"/>
          <w:szCs w:val="20"/>
        </w:rPr>
        <w:t xml:space="preserve">2 i 6 </w:t>
      </w:r>
      <w:r w:rsidRPr="00A443FE">
        <w:rPr>
          <w:rFonts w:ascii="Palatino Linotype" w:hAnsi="Palatino Linotype"/>
          <w:color w:val="000000" w:themeColor="text1"/>
          <w:sz w:val="20"/>
          <w:szCs w:val="20"/>
        </w:rPr>
        <w:t>ustawy z dnia 11 września 2019 r. - Prawo zamówień publicznych (Dz.U. z 2021 r. poz. 1129 ze zm.), w</w:t>
      </w:r>
      <w:r w:rsidR="00C861BE">
        <w:rPr>
          <w:rFonts w:ascii="Palatino Linotype" w:hAnsi="Palatino Linotype"/>
          <w:color w:val="000000" w:themeColor="text1"/>
          <w:sz w:val="20"/>
          <w:szCs w:val="20"/>
        </w:rPr>
        <w:t> </w:t>
      </w:r>
      <w:r w:rsidRPr="00A443FE">
        <w:rPr>
          <w:rFonts w:ascii="Palatino Linotype" w:hAnsi="Palatino Linotype"/>
          <w:color w:val="000000" w:themeColor="text1"/>
          <w:sz w:val="20"/>
          <w:szCs w:val="20"/>
        </w:rPr>
        <w:t>odpowiedzi na pytania zgłoszone w toku przedmiotowego postępowania przez Wykonawców udziela następujących wyjaśnień dotyczących treści Specyfikacji Warunków Zamówienia:</w:t>
      </w:r>
    </w:p>
    <w:p w14:paraId="4673D27C" w14:textId="19D79B60" w:rsidR="00BA4A59" w:rsidRPr="00BA4A59" w:rsidRDefault="00BA4A59" w:rsidP="00BA4A59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PYTANIE 1:</w:t>
      </w:r>
    </w:p>
    <w:p w14:paraId="5FE8F78A" w14:textId="77777777" w:rsidR="006933CA" w:rsidRPr="006933CA" w:rsidRDefault="006933CA" w:rsidP="006933CA">
      <w:pPr>
        <w:spacing w:after="0"/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Czy w odniesieniu do treści Wzoru umowy (§3 ust. 7), Zamawiający przewiduje modyfikację?</w:t>
      </w:r>
    </w:p>
    <w:p w14:paraId="017027C4" w14:textId="4A50B461" w:rsidR="006933CA" w:rsidRDefault="006933CA" w:rsidP="006933CA">
      <w:pPr>
        <w:spacing w:after="0"/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Wykonawca dokonuje księgowań transakcji po zakończeniu danego okresu rozliczeniowego. Fakturowanie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rozpoczyna się 16 dnia miesiąca oraz pierwszego dnia kolejnego miesiąca kalendarzowego. Określony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Wykonawca nie ma technicznej możliwości przesłania zbiorczych raportów transakcji w pierwszym dniu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fakturowania, ponieważ zbiorcze raporty transakcji generowane są wraz z fakturą, która wystawiana jest do 7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dni od zakończenia danego okresu rozliczeniowego. Zazwyczaj jest to jednak 3 lub 4 dzień roboczy. Czy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6933CA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Zamawiający zaakceptuje otrzymywanie zbiorczych raportów raz z e-fakturą?</w:t>
      </w:r>
    </w:p>
    <w:p w14:paraId="374D6B23" w14:textId="77777777" w:rsidR="00C861BE" w:rsidRDefault="00C861BE" w:rsidP="006933CA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</w:p>
    <w:p w14:paraId="36F79262" w14:textId="34443260" w:rsidR="00BA4A59" w:rsidRDefault="00BA4A59" w:rsidP="006933CA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ODPOWIEDŹ:</w:t>
      </w:r>
    </w:p>
    <w:p w14:paraId="1C052EB7" w14:textId="0A929A72" w:rsidR="00BA4A59" w:rsidRDefault="00BA4A59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Tak</w:t>
      </w:r>
      <w:r w:rsidR="000D6AB7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,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Zamawiający </w:t>
      </w:r>
      <w:r w:rsidR="006933CA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modyfikuje </w:t>
      </w:r>
      <w:r w:rsidR="006933CA" w:rsidRPr="006933CA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§3 ust. 7</w:t>
      </w:r>
      <w:r w:rsidR="006933CA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i nadaje mu następujące brzmienie:</w:t>
      </w:r>
    </w:p>
    <w:p w14:paraId="301A5B56" w14:textId="6ACAB361" w:rsidR="00822A0B" w:rsidRPr="00822A0B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„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7.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 xml:space="preserve">Rozliczanie ilości dostarczonych paliw odbywać się będzie 2 razy w miesiącu na podstawie przygotowanego przez Wykonawcę zbiorczego raportu transakcji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generowanego wraz z fakturą z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aku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pową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paliwa,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wystawianą nie później niż 7 dni od zakończenia danego okresu rozliczeniowego.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Okresy rozliczeniowe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:</w:t>
      </w:r>
    </w:p>
    <w:p w14:paraId="7E2ECFAD" w14:textId="7D507F21" w:rsidR="00822A0B" w:rsidRPr="00822A0B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1)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od 1. do 15. danego miesiąca,</w:t>
      </w:r>
    </w:p>
    <w:p w14:paraId="64E20D17" w14:textId="18E1D6D7" w:rsidR="00822A0B" w:rsidRPr="00822A0B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2)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od 16. do ostatniego dnia miesiąca</w:t>
      </w:r>
    </w:p>
    <w:p w14:paraId="50F05DD1" w14:textId="17964044" w:rsidR="006933CA" w:rsidRPr="006933CA" w:rsidRDefault="00822A0B" w:rsidP="00822A0B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Raport transakcji będzie zawierał zbiorcze zestawienie wszystkich transakcji dokonanych w okresie rozliczeniowym, którego raport dotyczy, z uwzględnieniem informacji, o których mowa w ust.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6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oraz 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lastRenderedPageBreak/>
        <w:t>wskazaniem dla każdej transakcji jej wartości netto oraz brutto i podatku VAT, a także z sumarycznym ujęciem wynagrodzenia za wszystkie dokonane transakcje w danym okresie rozliczeniowym, ze wskazaniem kwoty netto, brutto oraz podatku VAT.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”</w:t>
      </w:r>
    </w:p>
    <w:p w14:paraId="23B65E55" w14:textId="0C32050F" w:rsidR="00BA4A59" w:rsidRPr="00BA4A59" w:rsidRDefault="00BA4A59" w:rsidP="00BA4A59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PYTANIE </w:t>
      </w:r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>2</w:t>
      </w: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:</w:t>
      </w:r>
    </w:p>
    <w:p w14:paraId="5638F016" w14:textId="37E8C82D" w:rsidR="00822A0B" w:rsidRPr="00822A0B" w:rsidRDefault="00822A0B" w:rsidP="00822A0B">
      <w:pPr>
        <w:spacing w:after="0"/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W §7 ust. 7 jest błędne odniesienie do ust. 3, który wskazuje prawo opcji. W ocenie Wykonawcy odwołanie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powinno być do ust. 6. Bardzo proszę o doprecyzowanie.</w:t>
      </w:r>
    </w:p>
    <w:p w14:paraId="615F5CA6" w14:textId="77777777" w:rsidR="00822A0B" w:rsidRPr="00822A0B" w:rsidRDefault="00822A0B" w:rsidP="00822A0B">
      <w:pPr>
        <w:spacing w:after="0"/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Raport transakcji będzie zawierał zbiorcze zestawienie wszystkich transakcji dokonanych w okresie</w:t>
      </w:r>
    </w:p>
    <w:p w14:paraId="22723249" w14:textId="77777777" w:rsidR="00822A0B" w:rsidRPr="00822A0B" w:rsidRDefault="00822A0B" w:rsidP="00822A0B">
      <w:pPr>
        <w:spacing w:after="0"/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rozliczeniowym, którego raport dotyczy, z uwzględnieniem informacji, o których mowa w ust. 3 oraz</w:t>
      </w:r>
    </w:p>
    <w:p w14:paraId="4667923A" w14:textId="08BF6440" w:rsidR="00BA4A59" w:rsidRDefault="00822A0B" w:rsidP="00822A0B">
      <w:pPr>
        <w:spacing w:after="0"/>
        <w:jc w:val="both"/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wskazaniem dla każdej transakcji jej wartości netto oraz brutto i podatku VAT, a także z sumarycznym ujęciem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wynagrodzenia za wszystkie dokonane transakcje w danym okresie rozliczeniowym, ze wskazaniem kwoty</w:t>
      </w:r>
      <w:r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 xml:space="preserve"> </w:t>
      </w:r>
      <w:r w:rsidRPr="00822A0B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netto, brutto oraz podatku VAT.</w:t>
      </w:r>
      <w:r w:rsidR="00BA4A59" w:rsidRPr="00BA4A59">
        <w:rPr>
          <w:rFonts w:ascii="Palatino Linotype" w:hAnsi="Palatino Linotype" w:cs="Helvetica-Bold"/>
          <w:color w:val="000000" w:themeColor="text1"/>
          <w:sz w:val="20"/>
          <w:szCs w:val="20"/>
          <w:lang w:eastAsia="pl-PL"/>
        </w:rPr>
        <w:t>.”</w:t>
      </w:r>
    </w:p>
    <w:p w14:paraId="0793A00A" w14:textId="77777777" w:rsidR="00822A0B" w:rsidRDefault="00822A0B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</w:p>
    <w:p w14:paraId="7E8DFB4E" w14:textId="317599A2" w:rsidR="000D6AB7" w:rsidRDefault="000D6AB7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0D6AB7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ODPOWIEDŹ:</w:t>
      </w:r>
    </w:p>
    <w:p w14:paraId="61B50C61" w14:textId="0D93D413" w:rsidR="000D6AB7" w:rsidRDefault="000D6AB7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Tak, Zamawiający </w:t>
      </w:r>
      <w:r w:rsid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dokonał błędnego odwołania w</w:t>
      </w:r>
      <w:r w:rsidR="00822A0B"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treści </w:t>
      </w:r>
      <w:r w:rsidR="00822A0B"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§3</w:t>
      </w:r>
      <w:r w:rsid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ust 7. W powyższym paragrafie dokonano zmiany odwołania </w:t>
      </w:r>
      <w:r w:rsidR="00822A0B"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u w:val="single"/>
          <w:lang w:eastAsia="pl-PL"/>
        </w:rPr>
        <w:t>z ust. 3 na ust. 6</w:t>
      </w:r>
      <w:r w:rsid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i otrzymał </w:t>
      </w:r>
      <w:r w:rsidR="00C861BE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on </w:t>
      </w:r>
      <w:r w:rsid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następujące brzmienie.  </w:t>
      </w:r>
    </w:p>
    <w:p w14:paraId="679F6AF6" w14:textId="208CFC26" w:rsidR="00822A0B" w:rsidRPr="00822A0B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„</w:t>
      </w:r>
      <w:r w:rsidR="00C861BE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7. 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Rozliczanie ilości dostarczonych paliw odbywać się będzie 2 razy w miesiącu na podstawie przygotowanego przez Wykonawcę zbiorczego raportu transakcji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generowanego wraz z fakturą z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aku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pową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paliwa,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wystawianą nie później niż 7 dni od zakończenia danego okresu rozliczeniowego.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 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Okresy rozliczeniowe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:</w:t>
      </w:r>
    </w:p>
    <w:p w14:paraId="69D74E09" w14:textId="77777777" w:rsidR="00822A0B" w:rsidRPr="00822A0B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1)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od 1. do 15. danego miesiąca,</w:t>
      </w:r>
    </w:p>
    <w:p w14:paraId="03D993FA" w14:textId="77777777" w:rsidR="00822A0B" w:rsidRPr="00822A0B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2)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ab/>
        <w:t>od 16. do ostatniego dnia miesiąca</w:t>
      </w:r>
    </w:p>
    <w:p w14:paraId="4D0E9617" w14:textId="2C0D5D50" w:rsidR="00822A0B" w:rsidRPr="006933CA" w:rsidRDefault="00822A0B" w:rsidP="00C861BE">
      <w:pPr>
        <w:spacing w:after="0"/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Raport transakcji będzie zawierał zbiorcze zestawienie wszystkich transakcji dokonanych w okresie rozliczeniowym, którego raport dotyczy, z uwzględnieniem informacji, o których mowa w 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highlight w:val="yellow"/>
          <w:lang w:eastAsia="pl-PL"/>
        </w:rPr>
        <w:t>ust. 6</w:t>
      </w:r>
      <w:r w:rsidRPr="00822A0B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 oraz wskazaniem dla każdej transakcji jej wartości netto oraz brutto i podatku VAT, a także z sumarycznym ujęciem wynagrodzenia za wszystkie dokonane transakcje w danym okresie rozliczeniowym, ze wskazaniem kwoty netto, brutto oraz podatku VAT.</w:t>
      </w: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”</w:t>
      </w:r>
    </w:p>
    <w:p w14:paraId="2D965F63" w14:textId="77777777" w:rsidR="00822A0B" w:rsidRPr="000D6AB7" w:rsidRDefault="00822A0B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</w:p>
    <w:p w14:paraId="0876DE8A" w14:textId="77777777" w:rsidR="00BA4A59" w:rsidRPr="00E800CD" w:rsidRDefault="00BA4A59" w:rsidP="00BA4A59">
      <w:pPr>
        <w:pStyle w:val="Tekstpodstawowywcity"/>
        <w:spacing w:after="0"/>
        <w:ind w:left="720"/>
        <w:jc w:val="both"/>
        <w:rPr>
          <w:rFonts w:ascii="Palatino Linotype" w:hAnsi="Palatino Linotype"/>
          <w:bCs/>
          <w:sz w:val="20"/>
          <w:szCs w:val="20"/>
        </w:rPr>
      </w:pPr>
    </w:p>
    <w:p w14:paraId="72860D1E" w14:textId="77777777" w:rsidR="00BA4A59" w:rsidRDefault="00BA4A59" w:rsidP="00BA4A59">
      <w:pPr>
        <w:pStyle w:val="Default"/>
      </w:pPr>
    </w:p>
    <w:p w14:paraId="1BB23BB3" w14:textId="69BA8FC2" w:rsidR="00BA4A59" w:rsidRPr="00F14B18" w:rsidRDefault="00BA4A59" w:rsidP="00BA4A59">
      <w:pPr>
        <w:pStyle w:val="Stopka"/>
        <w:spacing w:after="200" w:line="276" w:lineRule="auto"/>
        <w:jc w:val="both"/>
        <w:rPr>
          <w:rFonts w:ascii="Palatino Linotype" w:hAnsi="Palatino Linotype"/>
          <w:i/>
          <w:sz w:val="20"/>
          <w:szCs w:val="20"/>
        </w:rPr>
      </w:pPr>
      <w:r w:rsidRPr="001978CB">
        <w:rPr>
          <w:rFonts w:ascii="Palatino Linotype" w:hAnsi="Palatino Linotype"/>
          <w:i/>
          <w:sz w:val="20"/>
          <w:szCs w:val="20"/>
        </w:rPr>
        <w:t>Niniejsze pismo stanowi integralną część SWZ i dotyczy wszystkich Wykonawców biorących udział</w:t>
      </w:r>
      <w:r w:rsidR="0037298B">
        <w:rPr>
          <w:rFonts w:ascii="Palatino Linotype" w:hAnsi="Palatino Linotype"/>
          <w:i/>
          <w:sz w:val="20"/>
          <w:szCs w:val="20"/>
        </w:rPr>
        <w:t xml:space="preserve"> </w:t>
      </w:r>
      <w:r w:rsidRPr="001978CB">
        <w:rPr>
          <w:rFonts w:ascii="Palatino Linotype" w:hAnsi="Palatino Linotype"/>
          <w:i/>
          <w:sz w:val="20"/>
          <w:szCs w:val="20"/>
        </w:rPr>
        <w:t>w przedmiotowym postępowaniu. Wykonawca zobowiązany jest złożyć ofertę z uwzględnieniem udzielonych przez Zamawiającego wyjaśnień.</w:t>
      </w:r>
    </w:p>
    <w:p w14:paraId="1FA908FD" w14:textId="77777777" w:rsidR="00BA4A59" w:rsidRDefault="00BA4A59" w:rsidP="00BA4A59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 w:cs="Arial"/>
          <w:b/>
          <w:bCs/>
          <w:i/>
          <w:sz w:val="22"/>
          <w:szCs w:val="22"/>
        </w:rPr>
      </w:pPr>
      <w:r w:rsidRPr="008F429D"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</w:t>
      </w:r>
    </w:p>
    <w:p w14:paraId="744C9896" w14:textId="77777777" w:rsidR="007C378F" w:rsidRDefault="007C378F"/>
    <w:sectPr w:rsidR="007C378F" w:rsidSect="008B0D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2FF9" w14:textId="77777777" w:rsidR="00F74BB4" w:rsidRDefault="00F74BB4" w:rsidP="00AA5651">
      <w:pPr>
        <w:spacing w:after="0" w:line="240" w:lineRule="auto"/>
      </w:pPr>
      <w:r>
        <w:separator/>
      </w:r>
    </w:p>
  </w:endnote>
  <w:endnote w:type="continuationSeparator" w:id="0">
    <w:p w14:paraId="3280BAAA" w14:textId="77777777" w:rsidR="00F74BB4" w:rsidRDefault="00F74BB4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C35D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277140" wp14:editId="493066D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11A7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2D8B32" wp14:editId="5341B416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A7E1" w14:textId="77777777" w:rsidR="00F74BB4" w:rsidRDefault="00F74BB4" w:rsidP="00AA5651">
      <w:pPr>
        <w:spacing w:after="0" w:line="240" w:lineRule="auto"/>
      </w:pPr>
      <w:r>
        <w:separator/>
      </w:r>
    </w:p>
  </w:footnote>
  <w:footnote w:type="continuationSeparator" w:id="0">
    <w:p w14:paraId="57824CE0" w14:textId="77777777" w:rsidR="00F74BB4" w:rsidRDefault="00F74BB4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E0EA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2FCAC9" wp14:editId="568360D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E8E1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E6F21E" wp14:editId="16E34D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42C"/>
    <w:multiLevelType w:val="hybridMultilevel"/>
    <w:tmpl w:val="04B85AE6"/>
    <w:lvl w:ilvl="0" w:tplc="950E9E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35FDD"/>
    <w:multiLevelType w:val="hybridMultilevel"/>
    <w:tmpl w:val="E236D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93606"/>
    <w:multiLevelType w:val="hybridMultilevel"/>
    <w:tmpl w:val="B6B49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05320">
    <w:abstractNumId w:val="2"/>
  </w:num>
  <w:num w:numId="2" w16cid:durableId="95910015">
    <w:abstractNumId w:val="1"/>
  </w:num>
  <w:num w:numId="3" w16cid:durableId="174583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59"/>
    <w:rsid w:val="000D6AB7"/>
    <w:rsid w:val="000E4657"/>
    <w:rsid w:val="001004E3"/>
    <w:rsid w:val="002434BA"/>
    <w:rsid w:val="00317629"/>
    <w:rsid w:val="003237E4"/>
    <w:rsid w:val="0037298B"/>
    <w:rsid w:val="0048445E"/>
    <w:rsid w:val="006933CA"/>
    <w:rsid w:val="00744674"/>
    <w:rsid w:val="007C378F"/>
    <w:rsid w:val="007D1800"/>
    <w:rsid w:val="00822A0B"/>
    <w:rsid w:val="008B0D04"/>
    <w:rsid w:val="00985EE7"/>
    <w:rsid w:val="009E42A5"/>
    <w:rsid w:val="00A33112"/>
    <w:rsid w:val="00AA5651"/>
    <w:rsid w:val="00B230F9"/>
    <w:rsid w:val="00B274FE"/>
    <w:rsid w:val="00BA4A59"/>
    <w:rsid w:val="00C861BE"/>
    <w:rsid w:val="00CE080D"/>
    <w:rsid w:val="00E8599B"/>
    <w:rsid w:val="00F46FE0"/>
    <w:rsid w:val="00F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4589D"/>
  <w15:chartTrackingRefBased/>
  <w15:docId w15:val="{9DD5F33F-B640-406D-B1B2-C897259C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character" w:styleId="Hipercze">
    <w:name w:val="Hyperlink"/>
    <w:rsid w:val="00BA4A59"/>
    <w:rPr>
      <w:color w:val="000080"/>
      <w:u w:val="singl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BA4A59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BA4A5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4A59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4A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BA4A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A4A59"/>
    <w:rPr>
      <w:b/>
      <w:bCs/>
    </w:rPr>
  </w:style>
  <w:style w:type="paragraph" w:customStyle="1" w:styleId="pkt">
    <w:name w:val="pkt"/>
    <w:basedOn w:val="Normalny"/>
    <w:rsid w:val="00BA4A5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3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2</cp:revision>
  <dcterms:created xsi:type="dcterms:W3CDTF">2023-08-24T05:23:00Z</dcterms:created>
  <dcterms:modified xsi:type="dcterms:W3CDTF">2023-08-24T05:23:00Z</dcterms:modified>
</cp:coreProperties>
</file>