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23" w:rsidRDefault="00123A23" w:rsidP="00ED19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23A23" w:rsidRPr="00123A23" w:rsidRDefault="004204C3" w:rsidP="00123A23">
      <w:pPr>
        <w:spacing w:after="200" w:line="276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Nowy Targ, </w:t>
      </w:r>
      <w:r w:rsidR="00DF145C">
        <w:rPr>
          <w:rFonts w:eastAsia="Calibri" w:cstheme="minorHAnsi"/>
          <w:sz w:val="24"/>
          <w:szCs w:val="24"/>
        </w:rPr>
        <w:t>17</w:t>
      </w:r>
      <w:r>
        <w:rPr>
          <w:rFonts w:eastAsia="Calibri" w:cstheme="minorHAnsi"/>
          <w:sz w:val="24"/>
          <w:szCs w:val="24"/>
        </w:rPr>
        <w:t>.</w:t>
      </w:r>
      <w:r w:rsidR="00DF145C">
        <w:rPr>
          <w:rFonts w:eastAsia="Calibri" w:cstheme="minorHAnsi"/>
          <w:sz w:val="24"/>
          <w:szCs w:val="24"/>
        </w:rPr>
        <w:t>10</w:t>
      </w:r>
      <w:r w:rsidR="00123A23" w:rsidRPr="00123A23">
        <w:rPr>
          <w:rFonts w:eastAsia="Calibri" w:cstheme="minorHAnsi"/>
          <w:sz w:val="24"/>
          <w:szCs w:val="24"/>
        </w:rPr>
        <w:t xml:space="preserve">.2023r. </w:t>
      </w:r>
    </w:p>
    <w:p w:rsidR="00123A23" w:rsidRPr="00123A23" w:rsidRDefault="004204C3" w:rsidP="00123A23">
      <w:p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Znak sprawy: ZA.272.</w:t>
      </w:r>
      <w:r w:rsidR="00DF145C">
        <w:rPr>
          <w:rFonts w:eastAsia="Calibri" w:cstheme="minorHAnsi"/>
          <w:sz w:val="24"/>
          <w:szCs w:val="24"/>
        </w:rPr>
        <w:t>24</w:t>
      </w:r>
      <w:r w:rsidR="00123A23" w:rsidRPr="00123A23">
        <w:rPr>
          <w:rFonts w:eastAsia="Calibri" w:cstheme="minorHAnsi"/>
          <w:sz w:val="24"/>
          <w:szCs w:val="24"/>
        </w:rPr>
        <w:t>.2023</w:t>
      </w:r>
      <w:r w:rsidR="00123A23" w:rsidRPr="00123A23">
        <w:rPr>
          <w:rFonts w:eastAsia="Calibri" w:cstheme="minorHAnsi"/>
          <w:sz w:val="24"/>
          <w:szCs w:val="24"/>
        </w:rPr>
        <w:tab/>
      </w:r>
      <w:r w:rsidR="00123A23" w:rsidRPr="00123A23">
        <w:rPr>
          <w:rFonts w:eastAsia="Calibri" w:cstheme="minorHAnsi"/>
          <w:sz w:val="24"/>
          <w:szCs w:val="24"/>
        </w:rPr>
        <w:tab/>
      </w:r>
    </w:p>
    <w:p w:rsidR="00123A23" w:rsidRDefault="00123A23" w:rsidP="00123A23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123A23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123A23">
        <w:rPr>
          <w:rFonts w:eastAsia="Calibri" w:cstheme="minorHAnsi"/>
          <w:b/>
          <w:sz w:val="24"/>
          <w:szCs w:val="24"/>
        </w:rPr>
        <w:t>PYTANIA, ODPOWIEDZI</w:t>
      </w:r>
    </w:p>
    <w:p w:rsidR="00123A23" w:rsidRPr="00123A23" w:rsidRDefault="00123A23" w:rsidP="00123A23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C648AD" w:rsidRPr="00C648AD" w:rsidRDefault="00C648AD" w:rsidP="00C6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C648AD">
        <w:rPr>
          <w:rFonts w:ascii="Calibri" w:eastAsia="Calibri" w:hAnsi="Calibri" w:cs="Times New Roman"/>
        </w:rPr>
        <w:t xml:space="preserve">Dotyczy: Postępowania o udzielenie zamówienia publicznego prowadzonego w trybie podstawowym zgodnie z art. 275 </w:t>
      </w:r>
      <w:proofErr w:type="spellStart"/>
      <w:r w:rsidRPr="00C648AD">
        <w:rPr>
          <w:rFonts w:ascii="Calibri" w:eastAsia="Calibri" w:hAnsi="Calibri" w:cs="Times New Roman"/>
        </w:rPr>
        <w:t>pkt</w:t>
      </w:r>
      <w:proofErr w:type="spellEnd"/>
      <w:r w:rsidRPr="00C648AD">
        <w:rPr>
          <w:rFonts w:ascii="Calibri" w:eastAsia="Calibri" w:hAnsi="Calibri" w:cs="Times New Roman"/>
        </w:rPr>
        <w:t xml:space="preserve"> 1 ustawy </w:t>
      </w:r>
      <w:proofErr w:type="spellStart"/>
      <w:r w:rsidRPr="00C648AD">
        <w:rPr>
          <w:rFonts w:ascii="Calibri" w:eastAsia="Calibri" w:hAnsi="Calibri" w:cs="Times New Roman"/>
        </w:rPr>
        <w:t>Pzp</w:t>
      </w:r>
      <w:proofErr w:type="spellEnd"/>
      <w:r w:rsidRPr="00C648AD">
        <w:rPr>
          <w:rFonts w:ascii="Calibri" w:eastAsia="Calibri" w:hAnsi="Calibri" w:cs="Times New Roman"/>
        </w:rPr>
        <w:t xml:space="preserve"> na:</w:t>
      </w:r>
      <w:r w:rsidRPr="00C648AD">
        <w:rPr>
          <w:rFonts w:ascii="Calibri" w:eastAsia="Calibri" w:hAnsi="Calibri" w:cs="Times New Roman"/>
          <w:b/>
        </w:rPr>
        <w:t xml:space="preserve"> </w:t>
      </w:r>
      <w:r w:rsidR="00DF145C" w:rsidRPr="000F7FDF">
        <w:rPr>
          <w:rFonts w:ascii="Calibri" w:eastAsia="Calibri" w:hAnsi="Calibri" w:cs="Times New Roman"/>
          <w:b/>
        </w:rPr>
        <w:t>DOSTAWA</w:t>
      </w:r>
      <w:r w:rsidR="00DF145C">
        <w:rPr>
          <w:rFonts w:ascii="Calibri" w:eastAsia="Calibri" w:hAnsi="Calibri" w:cs="Times New Roman"/>
          <w:b/>
          <w:sz w:val="40"/>
          <w:szCs w:val="32"/>
        </w:rPr>
        <w:t xml:space="preserve"> </w:t>
      </w:r>
      <w:r w:rsidR="00DF145C">
        <w:rPr>
          <w:rFonts w:ascii="Calibri" w:hAnsi="Calibri" w:cs="Calibri"/>
          <w:b/>
          <w:bCs/>
        </w:rPr>
        <w:t>SPRZĘTU KOMPUTEROWEGO</w:t>
      </w:r>
      <w:r w:rsidR="00DF145C">
        <w:rPr>
          <w:rFonts w:ascii="Calibri" w:hAnsi="Calibri" w:cs="Calibri"/>
          <w:bCs/>
        </w:rPr>
        <w:t xml:space="preserve"> do nowo wybudowanej siedziby Zespołu Szkół nr 1 im. Władysława Orkana w Nowym Targu ul. Jana Pawła II 85a.</w:t>
      </w:r>
    </w:p>
    <w:p w:rsidR="00123A23" w:rsidRPr="00D75036" w:rsidRDefault="00123A23" w:rsidP="00123A23">
      <w:pPr>
        <w:spacing w:after="0" w:line="360" w:lineRule="auto"/>
        <w:ind w:firstLine="708"/>
        <w:jc w:val="both"/>
        <w:rPr>
          <w:rFonts w:eastAsia="Calibri" w:cstheme="minorHAnsi"/>
        </w:rPr>
      </w:pPr>
      <w:r w:rsidRPr="00D75036">
        <w:rPr>
          <w:rFonts w:eastAsia="Calibri" w:cstheme="minorHAnsi"/>
        </w:rPr>
        <w:t>Informuję, że zgodnie z art. 135 ustawy Prawo zamówień publicznych  w przedmiotowym postępow</w:t>
      </w:r>
      <w:r w:rsidR="004204C3" w:rsidRPr="00D75036">
        <w:rPr>
          <w:rFonts w:eastAsia="Calibri" w:cstheme="minorHAnsi"/>
        </w:rPr>
        <w:t>aniu do Zamawiającego wpłynęł</w:t>
      </w:r>
      <w:r w:rsidR="00DF145C">
        <w:rPr>
          <w:rFonts w:eastAsia="Calibri" w:cstheme="minorHAnsi"/>
        </w:rPr>
        <w:t>y</w:t>
      </w:r>
      <w:r w:rsidR="004204C3" w:rsidRPr="00D75036">
        <w:rPr>
          <w:rFonts w:eastAsia="Calibri" w:cstheme="minorHAnsi"/>
        </w:rPr>
        <w:t xml:space="preserve"> następujące zapytani</w:t>
      </w:r>
      <w:r w:rsidR="00DF145C">
        <w:rPr>
          <w:rFonts w:eastAsia="Calibri" w:cstheme="minorHAnsi"/>
        </w:rPr>
        <w:t>a</w:t>
      </w:r>
      <w:r w:rsidRPr="00D75036">
        <w:rPr>
          <w:rFonts w:eastAsia="Calibri" w:cstheme="minorHAnsi"/>
        </w:rPr>
        <w:t>:</w:t>
      </w:r>
    </w:p>
    <w:p w:rsidR="00ED1959" w:rsidRDefault="002F609E" w:rsidP="00ED1959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1</w:t>
      </w:r>
    </w:p>
    <w:p w:rsidR="00DB27FF" w:rsidRPr="00DB27FF" w:rsidRDefault="00DB27FF" w:rsidP="00DB27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B27FF">
        <w:rPr>
          <w:rFonts w:cstheme="minorHAnsi"/>
          <w:color w:val="000000" w:themeColor="text1"/>
          <w:sz w:val="20"/>
          <w:szCs w:val="20"/>
        </w:rPr>
        <w:t xml:space="preserve">Zamawiający w załączniku do SWZ – Szczegółowy opis przedmiotu zamówienia </w:t>
      </w:r>
      <w:r w:rsidR="00C8398D">
        <w:rPr>
          <w:rFonts w:cstheme="minorHAnsi"/>
          <w:color w:val="000000" w:themeColor="text1"/>
          <w:sz w:val="20"/>
          <w:szCs w:val="20"/>
        </w:rPr>
        <w:t>–</w:t>
      </w:r>
      <w:r w:rsidRPr="00DB27FF">
        <w:rPr>
          <w:rFonts w:cstheme="minorHAnsi"/>
          <w:color w:val="000000" w:themeColor="text1"/>
          <w:sz w:val="20"/>
          <w:szCs w:val="20"/>
        </w:rPr>
        <w:t xml:space="preserve"> zestawy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 xml:space="preserve">komputerowe - zawarł wymóg, aby oferowane urządzenia posiadały certyfikat </w:t>
      </w:r>
      <w:proofErr w:type="spellStart"/>
      <w:r w:rsidRPr="00DB27FF">
        <w:rPr>
          <w:rFonts w:cstheme="minorHAnsi"/>
          <w:color w:val="000000" w:themeColor="text1"/>
          <w:sz w:val="20"/>
          <w:szCs w:val="20"/>
        </w:rPr>
        <w:t>EnergyStar</w:t>
      </w:r>
      <w:proofErr w:type="spellEnd"/>
      <w:r w:rsidRPr="00DB27FF">
        <w:rPr>
          <w:rFonts w:cstheme="minorHAnsi"/>
          <w:color w:val="000000" w:themeColor="text1"/>
          <w:sz w:val="20"/>
          <w:szCs w:val="20"/>
        </w:rPr>
        <w:t>. Zwracamy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uwagę na to, że program EU Energy Star obecnie przestał funkcjonować. Zgodnie z informacją zawartą na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europejskiej stronie internetowej programu Energy Star https://www.eu-energystar.org z dniem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 xml:space="preserve">20.02.2018 r. wygasła umowa </w:t>
      </w:r>
      <w:r w:rsidR="00372C18">
        <w:rPr>
          <w:rFonts w:cstheme="minorHAnsi"/>
          <w:color w:val="000000" w:themeColor="text1"/>
          <w:sz w:val="20"/>
          <w:szCs w:val="20"/>
        </w:rPr>
        <w:br/>
      </w:r>
      <w:r w:rsidRPr="00DB27FF">
        <w:rPr>
          <w:rFonts w:cstheme="minorHAnsi"/>
          <w:color w:val="000000" w:themeColor="text1"/>
          <w:sz w:val="20"/>
          <w:szCs w:val="20"/>
        </w:rPr>
        <w:t>z dnia 26 czerwca 2001 r. między Stanami Zjednoczonymi Ameryki a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Wspólnotą Europejską w sprawie koordynacji programów etykietowania w odniesieniu do efektywności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energetycznej urządzeń biurowych. Tym samym zgodnie z informacjami zamieszczonymi na stronie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https://www.eu-energystar.org/gna.htm,nie ma możliwości oznaczenia urządzeń produkowanych na rynek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 xml:space="preserve">europejski logo </w:t>
      </w:r>
      <w:proofErr w:type="spellStart"/>
      <w:r w:rsidRPr="00DB27FF">
        <w:rPr>
          <w:rFonts w:cstheme="minorHAnsi"/>
          <w:color w:val="000000" w:themeColor="text1"/>
          <w:sz w:val="20"/>
          <w:szCs w:val="20"/>
        </w:rPr>
        <w:t>EnergyStar</w:t>
      </w:r>
      <w:proofErr w:type="spellEnd"/>
      <w:r w:rsidRPr="00DB27FF">
        <w:rPr>
          <w:rFonts w:cstheme="minorHAnsi"/>
          <w:color w:val="000000" w:themeColor="text1"/>
          <w:sz w:val="20"/>
          <w:szCs w:val="20"/>
        </w:rPr>
        <w:t xml:space="preserve"> (mogą być wyprzedane jedynie zapasy magazynowe oznaczone tym logo).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 xml:space="preserve">Prawo oznaczenia logo </w:t>
      </w:r>
      <w:proofErr w:type="spellStart"/>
      <w:r w:rsidRPr="00DB27FF">
        <w:rPr>
          <w:rFonts w:cstheme="minorHAnsi"/>
          <w:color w:val="000000" w:themeColor="text1"/>
          <w:sz w:val="20"/>
          <w:szCs w:val="20"/>
        </w:rPr>
        <w:t>EnergyStar</w:t>
      </w:r>
      <w:proofErr w:type="spellEnd"/>
      <w:r w:rsidRPr="00DB27FF">
        <w:rPr>
          <w:rFonts w:cstheme="minorHAnsi"/>
          <w:color w:val="000000" w:themeColor="text1"/>
          <w:sz w:val="20"/>
          <w:szCs w:val="20"/>
        </w:rPr>
        <w:t xml:space="preserve"> dotyczy wyłącznie zakwalifikowania takich urządzeń wprowadzonych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na rynek amerykański (USA), a informacje dotyczące zakwalifikowania takich urządzeń do programu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mogą być zamieszczane jedynie na amerykańskiej stronie www.energystar.gov. W zaistniałej sytuacji,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wobec wygaśnięcia programu ENERGY STAR na terenie Unii Europejskiej oraz wobec braku na chwilę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 xml:space="preserve">obecną programu alternatywnego (równoważnego) prosimy </w:t>
      </w:r>
      <w:r w:rsidR="00372C18">
        <w:rPr>
          <w:rFonts w:cstheme="minorHAnsi"/>
          <w:color w:val="000000" w:themeColor="text1"/>
          <w:sz w:val="20"/>
          <w:szCs w:val="20"/>
        </w:rPr>
        <w:br/>
      </w:r>
      <w:r w:rsidRPr="00DB27FF">
        <w:rPr>
          <w:rFonts w:cstheme="minorHAnsi"/>
          <w:color w:val="000000" w:themeColor="text1"/>
          <w:sz w:val="20"/>
          <w:szCs w:val="20"/>
        </w:rPr>
        <w:t>o wykreślenie z treści SWZ wszelkich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wymogów i odniesień w zakresie tej certyfikacji. Proponujemy jednocześnie aby Zamawiający wprowadził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wymóg posiadania przez producenta komputerów normy ISO 50001. System Zarządzania Energią ISO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500001 to międzynarodowy standard wyznaczający globalnie uznane najlepsze praktyki w zakresie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zarządzania energią. Efektywne zarządzanie energią jest nie tylko korzystne dla firmy, teraz staje się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 xml:space="preserve">wymogiem, który najłatwiej spełnić właśnie dzięki implementacji ISO 50001 w organizacji. </w:t>
      </w:r>
      <w:r w:rsidR="00C8398D">
        <w:rPr>
          <w:rFonts w:cstheme="minorHAnsi"/>
          <w:color w:val="000000" w:themeColor="text1"/>
          <w:sz w:val="20"/>
          <w:szCs w:val="20"/>
        </w:rPr>
        <w:br/>
      </w:r>
      <w:r w:rsidRPr="00DB27FF">
        <w:rPr>
          <w:rFonts w:cstheme="minorHAnsi"/>
          <w:color w:val="000000" w:themeColor="text1"/>
          <w:sz w:val="20"/>
          <w:szCs w:val="20"/>
        </w:rPr>
        <w:t xml:space="preserve">Specjaliści 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w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dziedzinie zarządzania energią z ponad 60 krajów opracowali normę, której wdrożenie wpływa na</w:t>
      </w:r>
    </w:p>
    <w:p w:rsidR="00946914" w:rsidRPr="00C8398D" w:rsidRDefault="00DB27FF" w:rsidP="00C839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B27FF">
        <w:rPr>
          <w:rFonts w:cstheme="minorHAnsi"/>
          <w:color w:val="000000" w:themeColor="text1"/>
          <w:sz w:val="20"/>
          <w:szCs w:val="20"/>
        </w:rPr>
        <w:t>codzienną oszczędność energii, obniżenie kosztów i spełnianie najwyższych wymogów ochrony</w:t>
      </w:r>
      <w:r w:rsidR="00C8398D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środowiska.</w:t>
      </w:r>
    </w:p>
    <w:p w:rsidR="002F609E" w:rsidRDefault="002F609E" w:rsidP="00ED1959">
      <w:pPr>
        <w:spacing w:after="0" w:line="240" w:lineRule="auto"/>
        <w:jc w:val="both"/>
        <w:rPr>
          <w:b/>
        </w:rPr>
      </w:pPr>
    </w:p>
    <w:p w:rsidR="004204C3" w:rsidRPr="00D75036" w:rsidRDefault="002F609E" w:rsidP="00ED1959">
      <w:pPr>
        <w:spacing w:after="0" w:line="240" w:lineRule="auto"/>
        <w:jc w:val="both"/>
        <w:rPr>
          <w:b/>
        </w:rPr>
      </w:pPr>
      <w:r>
        <w:rPr>
          <w:b/>
        </w:rPr>
        <w:t>Odpowiedź</w:t>
      </w: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02C9C">
        <w:rPr>
          <w:rFonts w:cstheme="minorHAnsi"/>
          <w:sz w:val="20"/>
          <w:szCs w:val="20"/>
        </w:rPr>
        <w:t>Zamawiający kategorycznie odmawia usunięcia wymogów ze specyfikacji.</w:t>
      </w: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02C9C">
        <w:rPr>
          <w:rFonts w:cstheme="minorHAnsi"/>
          <w:sz w:val="20"/>
          <w:szCs w:val="20"/>
        </w:rPr>
        <w:t xml:space="preserve">Przytoczone w pytaniu informacje rażąco odbiegają od realnego, obecnie obowiązującego porządku porwanego. Zamawiający informuje, że zgodnie z wytycznymi zawartymi na stronach Ministerstwa Aktywów Państwowych, zgodnie z art. 11 ust. 2 </w:t>
      </w:r>
      <w:proofErr w:type="spellStart"/>
      <w:r w:rsidRPr="00702C9C">
        <w:rPr>
          <w:rFonts w:cstheme="minorHAnsi"/>
          <w:sz w:val="20"/>
          <w:szCs w:val="20"/>
        </w:rPr>
        <w:t>pkt</w:t>
      </w:r>
      <w:proofErr w:type="spellEnd"/>
      <w:r w:rsidRPr="00702C9C">
        <w:rPr>
          <w:rFonts w:cstheme="minorHAnsi"/>
          <w:sz w:val="20"/>
          <w:szCs w:val="20"/>
        </w:rPr>
        <w:t xml:space="preserve"> 2 ustawy z dnia 20 maja 2016 r. o efektywności energetycznej ( tj. </w:t>
      </w:r>
      <w:proofErr w:type="spellStart"/>
      <w:r w:rsidRPr="00702C9C">
        <w:rPr>
          <w:rFonts w:cstheme="minorHAnsi"/>
          <w:sz w:val="20"/>
          <w:szCs w:val="20"/>
        </w:rPr>
        <w:t>Dz.U</w:t>
      </w:r>
      <w:proofErr w:type="spellEnd"/>
      <w:r w:rsidRPr="00702C9C">
        <w:rPr>
          <w:rFonts w:cstheme="minorHAnsi"/>
          <w:sz w:val="20"/>
          <w:szCs w:val="20"/>
        </w:rPr>
        <w:t>. z 2020 r., poz. 264), minister właściwy do spraw energii zamieszcza w Biuletynie Informacji Publicznej wytyczne dotyczące sposobu uwzględniania kryterium efektywności energetycznej w postępowaniu o udzielenie zamówienia publicznego.</w:t>
      </w: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02C9C">
        <w:rPr>
          <w:rFonts w:cstheme="minorHAnsi"/>
          <w:sz w:val="20"/>
          <w:szCs w:val="20"/>
        </w:rPr>
        <w:t>Zgodnie z obowiązującymi przepisami krajowym związanymi z systemem zamówień publicznych, każdy zamawiający ma możliwość wyboru wyrobów i usług spełniających wysokie standardy ochrony środowiska. W ramach aspektów środowiskowych w postępowaniu o udzielenie zamówienia publicznego może też być uwzględnione kryterium efektywności energetycznej.</w:t>
      </w:r>
    </w:p>
    <w:p w:rsidR="00BF53F8" w:rsidRPr="00BF53F8" w:rsidRDefault="00BF53F8" w:rsidP="00BF53F8">
      <w:pPr>
        <w:spacing w:after="0" w:line="240" w:lineRule="auto"/>
        <w:jc w:val="both"/>
        <w:rPr>
          <w:rFonts w:cstheme="minorHAnsi"/>
        </w:rPr>
      </w:pP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02C9C">
        <w:rPr>
          <w:rFonts w:cstheme="minorHAnsi"/>
          <w:sz w:val="20"/>
          <w:szCs w:val="20"/>
        </w:rPr>
        <w:t xml:space="preserve">Ze względu na interes społeczny, w tym potrzebę poprawy jakości życia oraz stanu środowiska przyrodniczego pożądane i celowe jest, aby w zamówieniach publicznych kryteria efektywności energetycznej były uwzględniane w jak najszerszym zakresie. Podejmowane działania powinny dotyczyć w szczególności </w:t>
      </w:r>
      <w:r w:rsidRPr="00702C9C">
        <w:rPr>
          <w:rFonts w:cstheme="minorHAnsi"/>
          <w:sz w:val="20"/>
          <w:szCs w:val="20"/>
        </w:rPr>
        <w:lastRenderedPageBreak/>
        <w:t>wspierania rozwiązań energooszczędnych i materiałooszczędnych, które w dużej mierze są także efektywne kosztowo, tym samym mogą być atrakcyjne dla zamawiających z uwagi na korzyści ekonomiczne w krótko- i w długookresowej perspektywie.</w:t>
      </w: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02C9C">
        <w:rPr>
          <w:rFonts w:cstheme="minorHAnsi"/>
          <w:sz w:val="20"/>
          <w:szCs w:val="20"/>
        </w:rPr>
        <w:t>Rozporządzenie Energy Star ustanawia wymagania na zakup efektywnych energetycznie urządzeń biurowych, w tym w szczególności specyfikacji dla komputerów, monitorów komputerowych oraz urządzeń do przetwarzania obrazu.</w:t>
      </w: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02C9C">
        <w:rPr>
          <w:rFonts w:cstheme="minorHAnsi"/>
          <w:sz w:val="20"/>
          <w:szCs w:val="20"/>
        </w:rPr>
        <w:t xml:space="preserve">W dniu 20 lutego 2018 r. wygasła umowa zawarta między rządem Stanów Zjednoczonych Ameryki a Unią Europejską w sprawie koordynacji programów znakowania efektywności energetycznej urządzeń biurowych, która to w załączniku C określała specyfikacje techniczne dla wybranych grup produktów z kategorii biurowego sprzętu komputerowego. Jednak Rozporządzenie Parlamentu Europejskiego i Rady (WE) nr 106/2008 z dnia 15 stycznia 2008 r. w sprawie unijnego programu znakowania efektywności energetycznej urządzeń biurowych (Dz. Urz. UE L 39 z 13.2.2008 r., str. 1, z </w:t>
      </w:r>
      <w:proofErr w:type="spellStart"/>
      <w:r w:rsidRPr="00702C9C">
        <w:rPr>
          <w:rFonts w:cstheme="minorHAnsi"/>
          <w:sz w:val="20"/>
          <w:szCs w:val="20"/>
        </w:rPr>
        <w:t>późn</w:t>
      </w:r>
      <w:proofErr w:type="spellEnd"/>
      <w:r w:rsidRPr="00702C9C">
        <w:rPr>
          <w:rFonts w:cstheme="minorHAnsi"/>
          <w:sz w:val="20"/>
          <w:szCs w:val="20"/>
        </w:rPr>
        <w:t>. zm.), które to ustanowiło zasady znakowania efektywności energetycznej urządzeń biurowych dla Unii Europejskiej, jest aktem prawnym nadal obowiązującym.</w:t>
      </w:r>
    </w:p>
    <w:p w:rsidR="00BF53F8" w:rsidRPr="00BF53F8" w:rsidRDefault="00BF53F8" w:rsidP="00BF53F8">
      <w:pPr>
        <w:spacing w:after="0" w:line="240" w:lineRule="auto"/>
        <w:jc w:val="both"/>
        <w:rPr>
          <w:rFonts w:cstheme="minorHAnsi"/>
        </w:rPr>
      </w:pP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02C9C">
        <w:rPr>
          <w:rFonts w:cstheme="minorHAnsi"/>
          <w:sz w:val="20"/>
          <w:szCs w:val="20"/>
        </w:rPr>
        <w:t>Przewodnik po obowiązujących przepisach w obszarze zielonych zamówień publicznych, na stronie Urzędu Zamówień Publicznych również sugeruje wykorzystywanie w/w normy. Dodatkowo zgodnie z wymogami  Zawartymi w Rekomendacjach Prezesa Urzędu Zamówień Publicznych odnośnie udzielania zamówień publicznych na dostawę zestawów komputerowych, Zamawiający dostosował opis przedmiotu zamienia dopuszczając wprost rozwiązania równoważne rekomendowane przez UZP dla w/w certyfikatu, podając dokładny wymóg zasad równoważności.</w:t>
      </w:r>
    </w:p>
    <w:p w:rsidR="00BF53F8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609E" w:rsidRPr="00702C9C" w:rsidRDefault="00BF53F8" w:rsidP="00BF53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02C9C">
        <w:rPr>
          <w:rFonts w:cstheme="minorHAnsi"/>
          <w:sz w:val="20"/>
          <w:szCs w:val="20"/>
        </w:rPr>
        <w:t>„Za równoważny Zamawiający uważa 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mocy.”</w:t>
      </w:r>
    </w:p>
    <w:p w:rsidR="00637E4B" w:rsidRDefault="00637E4B" w:rsidP="00ED1959">
      <w:pPr>
        <w:spacing w:after="0" w:line="240" w:lineRule="auto"/>
        <w:jc w:val="both"/>
        <w:rPr>
          <w:rFonts w:cstheme="minorHAnsi"/>
          <w:b/>
          <w:bCs/>
        </w:rPr>
      </w:pPr>
    </w:p>
    <w:p w:rsidR="002F609E" w:rsidRDefault="002F609E" w:rsidP="00ED1959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2</w:t>
      </w:r>
    </w:p>
    <w:p w:rsidR="00DB27FF" w:rsidRPr="00DB27FF" w:rsidRDefault="00DB27FF" w:rsidP="00DB27F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B27FF">
        <w:rPr>
          <w:rFonts w:cstheme="minorHAnsi"/>
          <w:sz w:val="20"/>
          <w:szCs w:val="20"/>
        </w:rPr>
        <w:t>Ze względu na niejednoznaczną definicję „</w:t>
      </w:r>
      <w:proofErr w:type="spellStart"/>
      <w:r w:rsidRPr="00DB27FF">
        <w:rPr>
          <w:rFonts w:cstheme="minorHAnsi"/>
          <w:sz w:val="20"/>
          <w:szCs w:val="20"/>
        </w:rPr>
        <w:t>Small</w:t>
      </w:r>
      <w:proofErr w:type="spellEnd"/>
      <w:r w:rsidRPr="00DB27FF">
        <w:rPr>
          <w:rFonts w:cstheme="minorHAnsi"/>
          <w:sz w:val="20"/>
          <w:szCs w:val="20"/>
        </w:rPr>
        <w:t xml:space="preserve"> Form </w:t>
      </w:r>
      <w:proofErr w:type="spellStart"/>
      <w:r w:rsidRPr="00DB27FF">
        <w:rPr>
          <w:rFonts w:cstheme="minorHAnsi"/>
          <w:sz w:val="20"/>
          <w:szCs w:val="20"/>
        </w:rPr>
        <w:t>Factor</w:t>
      </w:r>
      <w:proofErr w:type="spellEnd"/>
      <w:r w:rsidRPr="00DB27FF">
        <w:rPr>
          <w:rFonts w:cstheme="minorHAnsi"/>
          <w:sz w:val="20"/>
          <w:szCs w:val="20"/>
        </w:rPr>
        <w:t>” zwracamy się z pytaniem, czy zamawiający</w:t>
      </w:r>
    </w:p>
    <w:p w:rsidR="00946914" w:rsidRPr="00DB27FF" w:rsidRDefault="00DB27FF" w:rsidP="00DB27F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B27FF">
        <w:rPr>
          <w:rFonts w:cstheme="minorHAnsi"/>
          <w:sz w:val="20"/>
          <w:szCs w:val="20"/>
        </w:rPr>
        <w:t>dopuści urządzenia opisywane jako „Mini Tower”, których wymiary nie przekraczają poniższych?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>Wysokość 36.93 cm Szerokość 17.3 cm Głębokość 42.02 cm</w:t>
      </w:r>
    </w:p>
    <w:p w:rsidR="002F609E" w:rsidRDefault="002F609E" w:rsidP="002F609E">
      <w:pPr>
        <w:spacing w:after="0" w:line="240" w:lineRule="auto"/>
        <w:jc w:val="both"/>
        <w:rPr>
          <w:b/>
        </w:rPr>
      </w:pPr>
    </w:p>
    <w:p w:rsidR="002F609E" w:rsidRDefault="002F609E" w:rsidP="002F609E">
      <w:pPr>
        <w:spacing w:after="0" w:line="240" w:lineRule="auto"/>
        <w:jc w:val="both"/>
        <w:rPr>
          <w:b/>
        </w:rPr>
      </w:pPr>
      <w:r>
        <w:rPr>
          <w:b/>
        </w:rPr>
        <w:t>Odpowiedź</w:t>
      </w:r>
    </w:p>
    <w:p w:rsidR="00BF53F8" w:rsidRPr="00702C9C" w:rsidRDefault="00BF53F8" w:rsidP="00BF53F8">
      <w:p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t xml:space="preserve">Z uwagi na fakt, że obudowy typu </w:t>
      </w:r>
      <w:proofErr w:type="spellStart"/>
      <w:r w:rsidRPr="00702C9C">
        <w:rPr>
          <w:bCs/>
          <w:sz w:val="20"/>
          <w:szCs w:val="20"/>
        </w:rPr>
        <w:t>Small</w:t>
      </w:r>
      <w:proofErr w:type="spellEnd"/>
      <w:r w:rsidRPr="00702C9C">
        <w:rPr>
          <w:bCs/>
          <w:sz w:val="20"/>
          <w:szCs w:val="20"/>
        </w:rPr>
        <w:t xml:space="preserve"> Form </w:t>
      </w:r>
      <w:proofErr w:type="spellStart"/>
      <w:r w:rsidRPr="00702C9C">
        <w:rPr>
          <w:bCs/>
          <w:sz w:val="20"/>
          <w:szCs w:val="20"/>
        </w:rPr>
        <w:t>Factor</w:t>
      </w:r>
      <w:proofErr w:type="spellEnd"/>
      <w:r w:rsidRPr="00702C9C">
        <w:rPr>
          <w:bCs/>
          <w:sz w:val="20"/>
          <w:szCs w:val="20"/>
        </w:rPr>
        <w:t xml:space="preserve"> nie mają podanych granicznych wymiarów oraz  w związku z ograniczoną przestrzenią jaką  dysponuje zamawiający na zamawiane komputery wymiary dla obudowy SFF rozumiane przez Zamawiającego są jako obudowy o wymiarach nie większych niż:</w:t>
      </w:r>
    </w:p>
    <w:p w:rsidR="00BF53F8" w:rsidRPr="00702C9C" w:rsidRDefault="00BF53F8" w:rsidP="00BF53F8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t>wysokość 37 cm,</w:t>
      </w:r>
    </w:p>
    <w:p w:rsidR="00BF53F8" w:rsidRPr="00702C9C" w:rsidRDefault="00BF53F8" w:rsidP="00BF53F8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t>szerokość 17,5 cm,</w:t>
      </w:r>
    </w:p>
    <w:p w:rsidR="00E8260F" w:rsidRPr="00702C9C" w:rsidRDefault="00BF53F8" w:rsidP="00BF53F8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t xml:space="preserve">głębokość 42,5 </w:t>
      </w:r>
      <w:proofErr w:type="spellStart"/>
      <w:r w:rsidRPr="00702C9C">
        <w:rPr>
          <w:bCs/>
          <w:sz w:val="20"/>
          <w:szCs w:val="20"/>
        </w:rPr>
        <w:t>cm</w:t>
      </w:r>
      <w:proofErr w:type="spellEnd"/>
      <w:r w:rsidRPr="00702C9C">
        <w:rPr>
          <w:bCs/>
          <w:sz w:val="20"/>
          <w:szCs w:val="20"/>
        </w:rPr>
        <w:t>.</w:t>
      </w:r>
    </w:p>
    <w:p w:rsidR="00637E4B" w:rsidRDefault="00637E4B" w:rsidP="002F609E">
      <w:pPr>
        <w:spacing w:after="0" w:line="240" w:lineRule="auto"/>
        <w:jc w:val="both"/>
        <w:rPr>
          <w:b/>
        </w:rPr>
      </w:pPr>
    </w:p>
    <w:p w:rsidR="00DF145C" w:rsidRDefault="00DF145C" w:rsidP="00DF145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3</w:t>
      </w:r>
    </w:p>
    <w:p w:rsidR="00DF145C" w:rsidRPr="00DB27FF" w:rsidRDefault="00DB27FF" w:rsidP="00DB27F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B27FF">
        <w:rPr>
          <w:rFonts w:cstheme="minorHAnsi"/>
          <w:sz w:val="20"/>
          <w:szCs w:val="20"/>
        </w:rPr>
        <w:t>W OPZ powołują się Państwo na wynik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 xml:space="preserve">punktowy </w:t>
      </w:r>
      <w:proofErr w:type="spellStart"/>
      <w:r w:rsidRPr="00DB27FF">
        <w:rPr>
          <w:rFonts w:cstheme="minorHAnsi"/>
          <w:sz w:val="20"/>
          <w:szCs w:val="20"/>
        </w:rPr>
        <w:t>passmark</w:t>
      </w:r>
      <w:proofErr w:type="spellEnd"/>
      <w:r w:rsidRPr="00DB27FF">
        <w:rPr>
          <w:rFonts w:cstheme="minorHAnsi"/>
          <w:sz w:val="20"/>
          <w:szCs w:val="20"/>
        </w:rPr>
        <w:t xml:space="preserve"> dla jednego procesora, mimo iż wymagają Państwo konfiguracji dwuprocesorowej.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>Czy w związku z powyższym zgodzą się pań</w:t>
      </w:r>
      <w:r w:rsidR="00372C18">
        <w:rPr>
          <w:rFonts w:cstheme="minorHAnsi"/>
          <w:sz w:val="20"/>
          <w:szCs w:val="20"/>
        </w:rPr>
        <w:t xml:space="preserve">stwo na zaproponowanie </w:t>
      </w:r>
      <w:r w:rsidRPr="00DB27FF">
        <w:rPr>
          <w:rFonts w:cstheme="minorHAnsi"/>
          <w:sz w:val="20"/>
          <w:szCs w:val="20"/>
        </w:rPr>
        <w:t>rozwiązania, które w innym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 xml:space="preserve">systemie </w:t>
      </w:r>
      <w:proofErr w:type="spellStart"/>
      <w:r w:rsidRPr="00DB27FF">
        <w:rPr>
          <w:rFonts w:cstheme="minorHAnsi"/>
          <w:sz w:val="20"/>
          <w:szCs w:val="20"/>
        </w:rPr>
        <w:t>benchmarku</w:t>
      </w:r>
      <w:proofErr w:type="spellEnd"/>
      <w:r w:rsidRPr="00DB27FF">
        <w:rPr>
          <w:rFonts w:cstheme="minorHAnsi"/>
          <w:sz w:val="20"/>
          <w:szCs w:val="20"/>
        </w:rPr>
        <w:t xml:space="preserve"> ( spec </w:t>
      </w:r>
      <w:proofErr w:type="spellStart"/>
      <w:r w:rsidRPr="00DB27FF">
        <w:rPr>
          <w:rFonts w:cstheme="minorHAnsi"/>
          <w:sz w:val="20"/>
          <w:szCs w:val="20"/>
        </w:rPr>
        <w:t>int</w:t>
      </w:r>
      <w:proofErr w:type="spellEnd"/>
      <w:r w:rsidRPr="00DB27FF">
        <w:rPr>
          <w:rFonts w:cstheme="minorHAnsi"/>
          <w:sz w:val="20"/>
          <w:szCs w:val="20"/>
        </w:rPr>
        <w:t xml:space="preserve"> </w:t>
      </w:r>
      <w:proofErr w:type="spellStart"/>
      <w:r w:rsidRPr="00DB27FF">
        <w:rPr>
          <w:rFonts w:cstheme="minorHAnsi"/>
          <w:sz w:val="20"/>
          <w:szCs w:val="20"/>
        </w:rPr>
        <w:t>rate</w:t>
      </w:r>
      <w:proofErr w:type="spellEnd"/>
      <w:r w:rsidRPr="00DB27FF">
        <w:rPr>
          <w:rFonts w:cstheme="minorHAnsi"/>
          <w:sz w:val="20"/>
          <w:szCs w:val="20"/>
        </w:rPr>
        <w:t xml:space="preserve"> </w:t>
      </w:r>
      <w:proofErr w:type="spellStart"/>
      <w:r w:rsidRPr="00DB27FF">
        <w:rPr>
          <w:rFonts w:cstheme="minorHAnsi"/>
          <w:sz w:val="20"/>
          <w:szCs w:val="20"/>
        </w:rPr>
        <w:t>base</w:t>
      </w:r>
      <w:proofErr w:type="spellEnd"/>
      <w:r w:rsidRPr="00DB27FF">
        <w:rPr>
          <w:rFonts w:cstheme="minorHAnsi"/>
          <w:sz w:val="20"/>
          <w:szCs w:val="20"/>
        </w:rPr>
        <w:t xml:space="preserve"> 2017) osiąga wynik 1020 </w:t>
      </w:r>
      <w:proofErr w:type="spellStart"/>
      <w:r w:rsidRPr="00DB27FF">
        <w:rPr>
          <w:rFonts w:cstheme="minorHAnsi"/>
          <w:sz w:val="20"/>
          <w:szCs w:val="20"/>
        </w:rPr>
        <w:t>pkt</w:t>
      </w:r>
      <w:proofErr w:type="spellEnd"/>
      <w:r w:rsidRPr="00DB27FF">
        <w:rPr>
          <w:rFonts w:cstheme="minorHAnsi"/>
          <w:sz w:val="20"/>
          <w:szCs w:val="20"/>
        </w:rPr>
        <w:t>?</w:t>
      </w:r>
    </w:p>
    <w:p w:rsidR="00DF145C" w:rsidRDefault="00DF145C" w:rsidP="00DF145C">
      <w:pPr>
        <w:spacing w:after="0" w:line="240" w:lineRule="auto"/>
        <w:jc w:val="both"/>
        <w:rPr>
          <w:b/>
        </w:rPr>
      </w:pPr>
    </w:p>
    <w:p w:rsidR="00DF145C" w:rsidRDefault="00DF145C" w:rsidP="00DF145C">
      <w:pPr>
        <w:spacing w:after="0" w:line="240" w:lineRule="auto"/>
        <w:jc w:val="both"/>
        <w:rPr>
          <w:b/>
        </w:rPr>
      </w:pPr>
      <w:r>
        <w:rPr>
          <w:b/>
        </w:rPr>
        <w:t>Odpowiedź</w:t>
      </w:r>
    </w:p>
    <w:p w:rsidR="00DB27FF" w:rsidRPr="00702C9C" w:rsidRDefault="00BF53F8" w:rsidP="00DF145C">
      <w:p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t xml:space="preserve">W związku z planami uruchomienia wirtualizacji na zamawianym serwerze Zamawiający zdecydował się na </w:t>
      </w:r>
      <w:proofErr w:type="spellStart"/>
      <w:r w:rsidRPr="00702C9C">
        <w:rPr>
          <w:bCs/>
          <w:sz w:val="20"/>
          <w:szCs w:val="20"/>
        </w:rPr>
        <w:t>passmark</w:t>
      </w:r>
      <w:proofErr w:type="spellEnd"/>
      <w:r w:rsidRPr="00702C9C">
        <w:rPr>
          <w:bCs/>
          <w:sz w:val="20"/>
          <w:szCs w:val="20"/>
        </w:rPr>
        <w:t xml:space="preserve"> procesora jako jedyne miarodajne rozwiązanie pomiaru jego wydajności. Z uwagi na powyższe Zamawiający nie dopuszcza innego sposobu weryfikacji wydajności procesora.</w:t>
      </w:r>
    </w:p>
    <w:p w:rsidR="00637E4B" w:rsidRDefault="00637E4B" w:rsidP="00DF145C">
      <w:pPr>
        <w:spacing w:after="0" w:line="240" w:lineRule="auto"/>
        <w:jc w:val="both"/>
        <w:rPr>
          <w:b/>
        </w:rPr>
      </w:pPr>
    </w:p>
    <w:p w:rsidR="00DF145C" w:rsidRDefault="00DF145C" w:rsidP="00DF145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4</w:t>
      </w:r>
    </w:p>
    <w:p w:rsidR="00DF145C" w:rsidRPr="00DB27FF" w:rsidRDefault="00DB27FF" w:rsidP="00DB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DB27FF">
        <w:rPr>
          <w:rFonts w:cstheme="minorHAnsi"/>
          <w:color w:val="000000" w:themeColor="text1"/>
          <w:sz w:val="20"/>
          <w:szCs w:val="20"/>
        </w:rPr>
        <w:t>Czy Zamawiający dopuści komputer stacjonarny posiadający obudowy typu "Mini Tower"?</w:t>
      </w:r>
    </w:p>
    <w:p w:rsidR="00DF145C" w:rsidRDefault="00DF145C" w:rsidP="00DF145C">
      <w:pPr>
        <w:spacing w:after="0" w:line="240" w:lineRule="auto"/>
        <w:jc w:val="both"/>
        <w:rPr>
          <w:b/>
        </w:rPr>
      </w:pPr>
    </w:p>
    <w:p w:rsidR="00DF145C" w:rsidRDefault="00DF145C" w:rsidP="00DF145C">
      <w:pPr>
        <w:spacing w:after="0" w:line="240" w:lineRule="auto"/>
        <w:jc w:val="both"/>
        <w:rPr>
          <w:b/>
        </w:rPr>
      </w:pPr>
      <w:r>
        <w:rPr>
          <w:b/>
        </w:rPr>
        <w:t>Odpowiedź</w:t>
      </w:r>
    </w:p>
    <w:p w:rsidR="00BF53F8" w:rsidRPr="00702C9C" w:rsidRDefault="00BF53F8" w:rsidP="00BF53F8">
      <w:p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lastRenderedPageBreak/>
        <w:t xml:space="preserve">Z uwagi na fakt, że obudowy typu </w:t>
      </w:r>
      <w:proofErr w:type="spellStart"/>
      <w:r w:rsidRPr="00702C9C">
        <w:rPr>
          <w:bCs/>
          <w:sz w:val="20"/>
          <w:szCs w:val="20"/>
        </w:rPr>
        <w:t>Small</w:t>
      </w:r>
      <w:proofErr w:type="spellEnd"/>
      <w:r w:rsidRPr="00702C9C">
        <w:rPr>
          <w:bCs/>
          <w:sz w:val="20"/>
          <w:szCs w:val="20"/>
        </w:rPr>
        <w:t xml:space="preserve"> Form </w:t>
      </w:r>
      <w:proofErr w:type="spellStart"/>
      <w:r w:rsidRPr="00702C9C">
        <w:rPr>
          <w:bCs/>
          <w:sz w:val="20"/>
          <w:szCs w:val="20"/>
        </w:rPr>
        <w:t>Factor</w:t>
      </w:r>
      <w:proofErr w:type="spellEnd"/>
      <w:r w:rsidRPr="00702C9C">
        <w:rPr>
          <w:bCs/>
          <w:sz w:val="20"/>
          <w:szCs w:val="20"/>
        </w:rPr>
        <w:t xml:space="preserve"> nie mają podanych granicznych wymiarów oraz  w związku z ograniczoną przestrzenią jaką  dysponuje zamawiający na zamawiane komputery wymiary dla obudowy SFF rozumiane przez Zamawiającego są jako obudowy o wymiarach nie większych niż:</w:t>
      </w:r>
    </w:p>
    <w:p w:rsidR="00BF53F8" w:rsidRPr="00702C9C" w:rsidRDefault="00BF53F8" w:rsidP="00BF53F8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t>wysokość 37 cm,</w:t>
      </w:r>
    </w:p>
    <w:p w:rsidR="00BF53F8" w:rsidRPr="00702C9C" w:rsidRDefault="00BF53F8" w:rsidP="00BF53F8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t>szerokość 17,5 cm,</w:t>
      </w:r>
    </w:p>
    <w:p w:rsidR="00BF53F8" w:rsidRPr="00702C9C" w:rsidRDefault="00BF53F8" w:rsidP="00BF53F8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t xml:space="preserve">głębokość 42,5 </w:t>
      </w:r>
      <w:proofErr w:type="spellStart"/>
      <w:r w:rsidRPr="00702C9C">
        <w:rPr>
          <w:bCs/>
          <w:sz w:val="20"/>
          <w:szCs w:val="20"/>
        </w:rPr>
        <w:t>cm</w:t>
      </w:r>
      <w:proofErr w:type="spellEnd"/>
      <w:r w:rsidRPr="00702C9C">
        <w:rPr>
          <w:bCs/>
          <w:sz w:val="20"/>
          <w:szCs w:val="20"/>
        </w:rPr>
        <w:t>.</w:t>
      </w:r>
    </w:p>
    <w:p w:rsidR="00637E4B" w:rsidRDefault="00637E4B" w:rsidP="00DF145C">
      <w:pPr>
        <w:spacing w:after="0" w:line="240" w:lineRule="auto"/>
        <w:jc w:val="both"/>
        <w:rPr>
          <w:b/>
        </w:rPr>
      </w:pPr>
    </w:p>
    <w:p w:rsidR="00DF145C" w:rsidRDefault="00DF145C" w:rsidP="00DF145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5</w:t>
      </w:r>
    </w:p>
    <w:p w:rsidR="00DF145C" w:rsidRPr="00DB27FF" w:rsidRDefault="00DB27FF" w:rsidP="00DB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DB27FF">
        <w:rPr>
          <w:rFonts w:cstheme="minorHAnsi"/>
          <w:color w:val="000000" w:themeColor="text1"/>
          <w:sz w:val="20"/>
          <w:szCs w:val="20"/>
        </w:rPr>
        <w:t>Prosimy o wydłużenie terminu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wykonania zamówienia do 30 dni od dnia zawarcia umowy.</w:t>
      </w:r>
    </w:p>
    <w:p w:rsidR="00DF145C" w:rsidRDefault="00DF145C" w:rsidP="00DF145C">
      <w:pPr>
        <w:spacing w:after="0" w:line="240" w:lineRule="auto"/>
        <w:jc w:val="both"/>
        <w:rPr>
          <w:b/>
        </w:rPr>
      </w:pPr>
    </w:p>
    <w:p w:rsidR="00DF145C" w:rsidRDefault="00DF145C" w:rsidP="00DF145C">
      <w:pPr>
        <w:spacing w:after="0" w:line="240" w:lineRule="auto"/>
        <w:jc w:val="both"/>
        <w:rPr>
          <w:b/>
        </w:rPr>
      </w:pPr>
      <w:r>
        <w:rPr>
          <w:b/>
        </w:rPr>
        <w:t>Odpowiedź</w:t>
      </w:r>
    </w:p>
    <w:p w:rsidR="009B7D51" w:rsidRPr="00702C9C" w:rsidRDefault="00BF53F8" w:rsidP="00DF145C">
      <w:p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t xml:space="preserve">Zamawiający odmawia wydłużenia terminu realizacji zamówienia. </w:t>
      </w:r>
    </w:p>
    <w:p w:rsidR="00637E4B" w:rsidRDefault="00637E4B" w:rsidP="00DF145C">
      <w:pPr>
        <w:spacing w:after="0" w:line="240" w:lineRule="auto"/>
        <w:jc w:val="both"/>
        <w:rPr>
          <w:b/>
        </w:rPr>
      </w:pPr>
    </w:p>
    <w:p w:rsidR="00DF145C" w:rsidRDefault="00DF145C" w:rsidP="00DF145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6</w:t>
      </w:r>
    </w:p>
    <w:p w:rsidR="00DF145C" w:rsidRPr="00DB27FF" w:rsidRDefault="00DB27FF" w:rsidP="00DB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DB27FF">
        <w:rPr>
          <w:rFonts w:cstheme="minorHAnsi"/>
          <w:color w:val="000000" w:themeColor="text1"/>
          <w:sz w:val="20"/>
          <w:szCs w:val="20"/>
        </w:rPr>
        <w:t>Najważniejszą częścią badania ofert jest zweryfikowanie, czy oferowany przez Wykonawcę produkt jest zgodny z opisem przedmiotu zamówienia, a tym samym czy jest zgodny z wymaganiami Zamawiającego. Zamawiający w niniejszym postępowaniu nie wymaga złożenia przedmiotowych środków dowodowych, nazw oferowanego sprzętu ani żadnych innych dokumentów pozwalających na sprawdzenie, czy produkty spełniają minimalne parametry techniczne. W związku z tym, prosimy o wprowadzenie wymogu dołą</w:t>
      </w:r>
      <w:r>
        <w:rPr>
          <w:rFonts w:cstheme="minorHAnsi"/>
          <w:color w:val="000000" w:themeColor="text1"/>
          <w:sz w:val="20"/>
          <w:szCs w:val="20"/>
        </w:rPr>
        <w:t>czenia do oferty</w:t>
      </w:r>
      <w:r w:rsidR="00BF53F8"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konfiguracji/kart katalogowych oferowanego sprzętu.</w:t>
      </w:r>
    </w:p>
    <w:p w:rsidR="00DF145C" w:rsidRDefault="00DF145C" w:rsidP="00DF145C">
      <w:pPr>
        <w:spacing w:after="0" w:line="240" w:lineRule="auto"/>
        <w:jc w:val="both"/>
        <w:rPr>
          <w:b/>
        </w:rPr>
      </w:pPr>
    </w:p>
    <w:p w:rsidR="00DF145C" w:rsidRDefault="00DF145C" w:rsidP="00DF145C">
      <w:pPr>
        <w:spacing w:after="0" w:line="240" w:lineRule="auto"/>
        <w:jc w:val="both"/>
        <w:rPr>
          <w:b/>
        </w:rPr>
      </w:pPr>
      <w:r>
        <w:rPr>
          <w:b/>
        </w:rPr>
        <w:t>Odpowiedź</w:t>
      </w:r>
    </w:p>
    <w:p w:rsidR="00DB27FF" w:rsidRPr="00702C9C" w:rsidRDefault="00BF53F8" w:rsidP="00DF145C">
      <w:p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t>Zamawiający dokona badania zgodności na etapie realizacji zamówienia. W związku z powyższym nie widzi konieczności wprowadzania wymogu dołączenia do oferty konfiguracji/kart katalogowych oferowanego sprzętu.</w:t>
      </w:r>
    </w:p>
    <w:p w:rsidR="00637E4B" w:rsidRPr="00702C9C" w:rsidRDefault="00637E4B" w:rsidP="00DF145C">
      <w:pPr>
        <w:spacing w:after="0" w:line="240" w:lineRule="auto"/>
        <w:jc w:val="both"/>
        <w:rPr>
          <w:b/>
          <w:sz w:val="20"/>
          <w:szCs w:val="20"/>
        </w:rPr>
      </w:pPr>
    </w:p>
    <w:p w:rsidR="00DF145C" w:rsidRDefault="00DF145C" w:rsidP="00DF145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7</w:t>
      </w:r>
    </w:p>
    <w:p w:rsidR="00DF145C" w:rsidRPr="00DB27FF" w:rsidRDefault="00DB27FF" w:rsidP="00DB27F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B27FF">
        <w:rPr>
          <w:rFonts w:cstheme="minorHAnsi"/>
          <w:sz w:val="20"/>
          <w:szCs w:val="20"/>
        </w:rPr>
        <w:t>W nawiązaniu do Załącznika nr 3 - Projektowane postanowienia umowy w sprawie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>zamówienia publicznego zwracamy się z prośbą: §5.1 "(...) Wykonawca winien wystawić dokument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>gwarancyjny." - Informujem</w:t>
      </w:r>
      <w:r w:rsidR="00126E3F">
        <w:rPr>
          <w:rFonts w:cstheme="minorHAnsi"/>
          <w:sz w:val="20"/>
          <w:szCs w:val="20"/>
        </w:rPr>
        <w:t xml:space="preserve">y, </w:t>
      </w:r>
      <w:proofErr w:type="spellStart"/>
      <w:r w:rsidR="00126E3F">
        <w:rPr>
          <w:rFonts w:cstheme="minorHAnsi"/>
          <w:sz w:val="20"/>
          <w:szCs w:val="20"/>
        </w:rPr>
        <w:t>iż</w:t>
      </w:r>
      <w:proofErr w:type="spellEnd"/>
      <w:r w:rsidR="00126E3F">
        <w:rPr>
          <w:rFonts w:cstheme="minorHAnsi"/>
          <w:sz w:val="20"/>
          <w:szCs w:val="20"/>
        </w:rPr>
        <w:t xml:space="preserve"> wraz z dostawa ̨ </w:t>
      </w:r>
      <w:proofErr w:type="spellStart"/>
      <w:r w:rsidR="00126E3F">
        <w:rPr>
          <w:rFonts w:cstheme="minorHAnsi"/>
          <w:sz w:val="20"/>
          <w:szCs w:val="20"/>
        </w:rPr>
        <w:t>sprzet̨</w:t>
      </w:r>
      <w:r w:rsidRPr="00DB27FF">
        <w:rPr>
          <w:rFonts w:cstheme="minorHAnsi"/>
          <w:sz w:val="20"/>
          <w:szCs w:val="20"/>
        </w:rPr>
        <w:t>u</w:t>
      </w:r>
      <w:proofErr w:type="spellEnd"/>
      <w:r w:rsidRPr="00DB27FF">
        <w:rPr>
          <w:rFonts w:cstheme="minorHAnsi"/>
          <w:sz w:val="20"/>
          <w:szCs w:val="20"/>
        </w:rPr>
        <w:t xml:space="preserve"> nie </w:t>
      </w:r>
      <w:proofErr w:type="spellStart"/>
      <w:r w:rsidRPr="00DB27FF">
        <w:rPr>
          <w:rFonts w:cstheme="minorHAnsi"/>
          <w:sz w:val="20"/>
          <w:szCs w:val="20"/>
        </w:rPr>
        <w:t>sa</w:t>
      </w:r>
      <w:proofErr w:type="spellEnd"/>
      <w:r w:rsidRPr="00DB27FF">
        <w:rPr>
          <w:rFonts w:cstheme="minorHAnsi"/>
          <w:sz w:val="20"/>
          <w:szCs w:val="20"/>
        </w:rPr>
        <w:t xml:space="preserve"> ̨ dostarczane dokumenty gwarancyjne, tj.: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 xml:space="preserve">karty gwarancyjne czy instrukcje obsługi </w:t>
      </w:r>
      <w:r w:rsidR="00372C18">
        <w:rPr>
          <w:rFonts w:cstheme="minorHAnsi"/>
          <w:sz w:val="20"/>
          <w:szCs w:val="20"/>
        </w:rPr>
        <w:br/>
      </w:r>
      <w:r w:rsidRPr="00DB27FF">
        <w:rPr>
          <w:rFonts w:cstheme="minorHAnsi"/>
          <w:sz w:val="20"/>
          <w:szCs w:val="20"/>
        </w:rPr>
        <w:t xml:space="preserve">w formie fizycznej. Serwis </w:t>
      </w:r>
      <w:proofErr w:type="spellStart"/>
      <w:r w:rsidRPr="00DB27FF">
        <w:rPr>
          <w:rFonts w:cstheme="minorHAnsi"/>
          <w:sz w:val="20"/>
          <w:szCs w:val="20"/>
        </w:rPr>
        <w:t>świadczony</w:t>
      </w:r>
      <w:proofErr w:type="spellEnd"/>
      <w:r w:rsidRPr="00DB27FF">
        <w:rPr>
          <w:rFonts w:cstheme="minorHAnsi"/>
          <w:sz w:val="20"/>
          <w:szCs w:val="20"/>
        </w:rPr>
        <w:t xml:space="preserve"> jest w oparciu o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>indywidualny numer seryjny produktu, tzw. Service Tag. Na jego podstawie Zamawiający uzyskuje w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>trakcie gwarancji wszelka ̨ pomoc techniczna ̨ oraz serwisowa ̨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 xml:space="preserve">nabywanego </w:t>
      </w:r>
      <w:proofErr w:type="spellStart"/>
      <w:r w:rsidRPr="00DB27FF">
        <w:rPr>
          <w:rFonts w:cstheme="minorHAnsi"/>
          <w:sz w:val="20"/>
          <w:szCs w:val="20"/>
        </w:rPr>
        <w:t>sprzet̨</w:t>
      </w:r>
      <w:proofErr w:type="spellEnd"/>
      <w:r w:rsidRPr="00DB27FF">
        <w:rPr>
          <w:rFonts w:cstheme="minorHAnsi"/>
          <w:sz w:val="20"/>
          <w:szCs w:val="20"/>
        </w:rPr>
        <w:t xml:space="preserve"> u. Prosimy zatem o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>naniesienie zmi</w:t>
      </w:r>
      <w:r w:rsidR="00F30C34">
        <w:rPr>
          <w:rFonts w:cstheme="minorHAnsi"/>
          <w:sz w:val="20"/>
          <w:szCs w:val="20"/>
        </w:rPr>
        <w:t xml:space="preserve">any ww. punkcie, w postaci </w:t>
      </w:r>
      <w:proofErr w:type="spellStart"/>
      <w:r w:rsidR="00F30C34">
        <w:rPr>
          <w:rFonts w:cstheme="minorHAnsi"/>
          <w:sz w:val="20"/>
          <w:szCs w:val="20"/>
        </w:rPr>
        <w:t>zastą</w:t>
      </w:r>
      <w:r w:rsidRPr="00DB27FF">
        <w:rPr>
          <w:rFonts w:cstheme="minorHAnsi"/>
          <w:sz w:val="20"/>
          <w:szCs w:val="20"/>
        </w:rPr>
        <w:t>p̨ienia</w:t>
      </w:r>
      <w:proofErr w:type="spellEnd"/>
      <w:r w:rsidRPr="00DB27FF">
        <w:rPr>
          <w:rFonts w:cstheme="minorHAnsi"/>
          <w:sz w:val="20"/>
          <w:szCs w:val="20"/>
        </w:rPr>
        <w:t xml:space="preserve"> sformułowania „dokument gwarancyjny”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 xml:space="preserve">terminem "Ogólne Warunki Gwarancji Producenta". Wszelka dokumentacja </w:t>
      </w:r>
      <w:proofErr w:type="spellStart"/>
      <w:r w:rsidRPr="00DB27FF">
        <w:rPr>
          <w:rFonts w:cstheme="minorHAnsi"/>
          <w:sz w:val="20"/>
          <w:szCs w:val="20"/>
        </w:rPr>
        <w:t>dost</w:t>
      </w:r>
      <w:r w:rsidR="00F30C34">
        <w:rPr>
          <w:rFonts w:cstheme="minorHAnsi"/>
          <w:sz w:val="20"/>
          <w:szCs w:val="20"/>
        </w:rPr>
        <w:t>ę</w:t>
      </w:r>
      <w:r w:rsidRPr="00DB27FF">
        <w:rPr>
          <w:rFonts w:cstheme="minorHAnsi"/>
          <w:sz w:val="20"/>
          <w:szCs w:val="20"/>
        </w:rPr>
        <w:t>p̨</w:t>
      </w:r>
      <w:proofErr w:type="spellEnd"/>
      <w:r w:rsidRPr="00DB27FF">
        <w:rPr>
          <w:rFonts w:cstheme="minorHAnsi"/>
          <w:sz w:val="20"/>
          <w:szCs w:val="20"/>
        </w:rPr>
        <w:t xml:space="preserve"> na jest na stronie</w:t>
      </w:r>
      <w:r>
        <w:rPr>
          <w:rFonts w:cstheme="minorHAnsi"/>
          <w:sz w:val="20"/>
          <w:szCs w:val="20"/>
        </w:rPr>
        <w:t xml:space="preserve"> </w:t>
      </w:r>
      <w:r w:rsidRPr="00DB27FF">
        <w:rPr>
          <w:rFonts w:cstheme="minorHAnsi"/>
          <w:sz w:val="20"/>
          <w:szCs w:val="20"/>
        </w:rPr>
        <w:t>producenta www.dell.com.</w:t>
      </w:r>
    </w:p>
    <w:p w:rsidR="00DF145C" w:rsidRDefault="00DF145C" w:rsidP="00DF145C">
      <w:pPr>
        <w:spacing w:after="0" w:line="240" w:lineRule="auto"/>
        <w:jc w:val="both"/>
        <w:rPr>
          <w:b/>
        </w:rPr>
      </w:pPr>
    </w:p>
    <w:p w:rsidR="00DF145C" w:rsidRDefault="00DF145C" w:rsidP="00DF145C">
      <w:pPr>
        <w:spacing w:after="0" w:line="240" w:lineRule="auto"/>
        <w:jc w:val="both"/>
        <w:rPr>
          <w:b/>
        </w:rPr>
      </w:pPr>
      <w:r>
        <w:rPr>
          <w:b/>
        </w:rPr>
        <w:t>Odpowiedź</w:t>
      </w:r>
    </w:p>
    <w:p w:rsidR="00637E4B" w:rsidRDefault="00BF53F8" w:rsidP="00DF145C">
      <w:pPr>
        <w:spacing w:after="0" w:line="240" w:lineRule="auto"/>
        <w:jc w:val="both"/>
        <w:rPr>
          <w:bCs/>
          <w:sz w:val="20"/>
          <w:szCs w:val="20"/>
        </w:rPr>
      </w:pPr>
      <w:r w:rsidRPr="00060324">
        <w:rPr>
          <w:bCs/>
          <w:sz w:val="20"/>
          <w:szCs w:val="20"/>
        </w:rPr>
        <w:t>Zmawiający odmawia wprowadzenia zmian w projekcie umowy.</w:t>
      </w:r>
    </w:p>
    <w:p w:rsidR="00060324" w:rsidRPr="00060324" w:rsidRDefault="00060324" w:rsidP="00DF145C">
      <w:pPr>
        <w:spacing w:after="0" w:line="240" w:lineRule="auto"/>
        <w:jc w:val="both"/>
        <w:rPr>
          <w:bCs/>
          <w:sz w:val="20"/>
          <w:szCs w:val="20"/>
        </w:rPr>
      </w:pPr>
    </w:p>
    <w:p w:rsidR="00060324" w:rsidRDefault="00DB27FF" w:rsidP="00DB27FF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8</w:t>
      </w:r>
    </w:p>
    <w:p w:rsidR="00DB27FF" w:rsidRPr="00DB27FF" w:rsidRDefault="00DB27FF" w:rsidP="00DB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DB27FF">
        <w:rPr>
          <w:rFonts w:cstheme="minorHAnsi"/>
          <w:color w:val="000000" w:themeColor="text1"/>
          <w:sz w:val="20"/>
          <w:szCs w:val="20"/>
        </w:rPr>
        <w:t>§6.1b W przypadku niewykonania lub nienależytego wykonania umowy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Wykonawca zobowiązuje się zapłacić Zamawiającemu karę umowną w wysokości 0,5 % wartości towaru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 xml:space="preserve">określonej § 2 ust. 1 za każdy dzień zwłoki </w:t>
      </w:r>
      <w:r w:rsidR="00372C18">
        <w:rPr>
          <w:rFonts w:cstheme="minorHAnsi"/>
          <w:color w:val="000000" w:themeColor="text1"/>
          <w:sz w:val="20"/>
          <w:szCs w:val="20"/>
        </w:rPr>
        <w:br/>
      </w:r>
      <w:r w:rsidRPr="00DB27FF">
        <w:rPr>
          <w:rFonts w:cstheme="minorHAnsi"/>
          <w:color w:val="000000" w:themeColor="text1"/>
          <w:sz w:val="20"/>
          <w:szCs w:val="20"/>
        </w:rPr>
        <w:t>w terminowym wydaniu towaru Zamawiającemu lub usunięciu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ujawnionych wad towaru nie więcej jednak niż 25% wartości towaru(...) - Wnosimy o obniżenie wysokości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DB27FF">
        <w:rPr>
          <w:rFonts w:cstheme="minorHAnsi"/>
          <w:color w:val="000000" w:themeColor="text1"/>
          <w:sz w:val="20"/>
          <w:szCs w:val="20"/>
        </w:rPr>
        <w:t>kary umownej z 0,5% na 0,2% oraz z 25% na 15%.</w:t>
      </w:r>
    </w:p>
    <w:p w:rsidR="00DB27FF" w:rsidRDefault="00DB27FF" w:rsidP="00DB27FF">
      <w:pPr>
        <w:spacing w:after="0" w:line="240" w:lineRule="auto"/>
        <w:jc w:val="both"/>
        <w:rPr>
          <w:rFonts w:cstheme="minorHAnsi"/>
          <w:b/>
          <w:bCs/>
        </w:rPr>
      </w:pPr>
    </w:p>
    <w:p w:rsidR="00DB27FF" w:rsidRDefault="00DB27FF" w:rsidP="00DB27FF">
      <w:pPr>
        <w:spacing w:after="0" w:line="240" w:lineRule="auto"/>
        <w:jc w:val="both"/>
        <w:rPr>
          <w:b/>
        </w:rPr>
      </w:pPr>
      <w:r>
        <w:rPr>
          <w:b/>
        </w:rPr>
        <w:t>Odpowiedź</w:t>
      </w:r>
    </w:p>
    <w:p w:rsidR="002F609E" w:rsidRPr="00702C9C" w:rsidRDefault="00BF53F8" w:rsidP="00126E3F">
      <w:pPr>
        <w:spacing w:after="0" w:line="240" w:lineRule="auto"/>
        <w:jc w:val="both"/>
        <w:rPr>
          <w:bCs/>
          <w:sz w:val="20"/>
          <w:szCs w:val="20"/>
        </w:rPr>
      </w:pPr>
      <w:r w:rsidRPr="00702C9C">
        <w:rPr>
          <w:bCs/>
          <w:sz w:val="20"/>
          <w:szCs w:val="20"/>
        </w:rPr>
        <w:t>Zmawiający odmawia wprowadzenia zmian w projekcie umowy.</w:t>
      </w:r>
    </w:p>
    <w:sectPr w:rsidR="002F609E" w:rsidRPr="00702C9C" w:rsidSect="00123A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46D"/>
    <w:multiLevelType w:val="hybridMultilevel"/>
    <w:tmpl w:val="12FA55A2"/>
    <w:lvl w:ilvl="0" w:tplc="11265644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F44607A"/>
    <w:multiLevelType w:val="hybridMultilevel"/>
    <w:tmpl w:val="CF44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2725C"/>
    <w:multiLevelType w:val="hybridMultilevel"/>
    <w:tmpl w:val="D3945842"/>
    <w:lvl w:ilvl="0" w:tplc="1126564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25514D"/>
    <w:multiLevelType w:val="hybridMultilevel"/>
    <w:tmpl w:val="6EE25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76193"/>
    <w:rsid w:val="00060324"/>
    <w:rsid w:val="00123A23"/>
    <w:rsid w:val="00126E3F"/>
    <w:rsid w:val="00176193"/>
    <w:rsid w:val="002F2CC5"/>
    <w:rsid w:val="002F609E"/>
    <w:rsid w:val="00357710"/>
    <w:rsid w:val="00372C18"/>
    <w:rsid w:val="003F3745"/>
    <w:rsid w:val="004204C3"/>
    <w:rsid w:val="0053728B"/>
    <w:rsid w:val="00637E4B"/>
    <w:rsid w:val="00702C9C"/>
    <w:rsid w:val="00803F7C"/>
    <w:rsid w:val="008D7E24"/>
    <w:rsid w:val="00946914"/>
    <w:rsid w:val="009B7D51"/>
    <w:rsid w:val="00AB2A1B"/>
    <w:rsid w:val="00BF53F8"/>
    <w:rsid w:val="00C648AD"/>
    <w:rsid w:val="00C8398D"/>
    <w:rsid w:val="00C843E8"/>
    <w:rsid w:val="00CA7B52"/>
    <w:rsid w:val="00D75036"/>
    <w:rsid w:val="00DB27FF"/>
    <w:rsid w:val="00DD020A"/>
    <w:rsid w:val="00DF145C"/>
    <w:rsid w:val="00E05EFC"/>
    <w:rsid w:val="00E8260F"/>
    <w:rsid w:val="00ED1959"/>
    <w:rsid w:val="00F3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Nowotarski</dc:creator>
  <cp:lastModifiedBy>marta.rajca</cp:lastModifiedBy>
  <cp:revision>25</cp:revision>
  <dcterms:created xsi:type="dcterms:W3CDTF">2023-10-17T10:36:00Z</dcterms:created>
  <dcterms:modified xsi:type="dcterms:W3CDTF">2023-10-17T11:27:00Z</dcterms:modified>
</cp:coreProperties>
</file>