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374BCA0" w:rsidR="00303AAF" w:rsidRPr="005D6B1B" w:rsidRDefault="00BE144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52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2E5F72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E144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52</w:t>
      </w:r>
      <w:bookmarkStart w:id="0" w:name="_GoBack"/>
      <w:bookmarkEnd w:id="0"/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4ABA12A" w14:textId="51A2DD8D" w:rsidR="0017721D" w:rsidRDefault="00BE33A3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224CC325" w14:textId="77777777" w:rsidR="00BE1442" w:rsidRDefault="00BE1442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BE1442">
        <w:rPr>
          <w:rFonts w:asciiTheme="majorHAnsi" w:eastAsia="Times New Roman" w:hAnsiTheme="majorHAnsi" w:cstheme="majorHAnsi"/>
          <w:bCs/>
          <w:sz w:val="22"/>
          <w:szCs w:val="22"/>
        </w:rPr>
        <w:t>Phospho</w:t>
      </w:r>
      <w:proofErr w:type="spellEnd"/>
      <w:r w:rsidRPr="00BE1442">
        <w:rPr>
          <w:rFonts w:asciiTheme="majorHAnsi" w:eastAsia="Times New Roman" w:hAnsiTheme="majorHAnsi" w:cstheme="majorHAnsi"/>
          <w:bCs/>
          <w:sz w:val="22"/>
          <w:szCs w:val="22"/>
        </w:rPr>
        <w:t xml:space="preserve">-PKR (Thr451) Polyclonal Antibody, Invitrogen, 100 µL (44-668G) - </w:t>
      </w:r>
      <w:proofErr w:type="spellStart"/>
      <w:r w:rsidRPr="00BE1442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BE1442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75E73755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6E29AD" w14:textId="77777777" w:rsidR="0017721D" w:rsidRDefault="0017721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CBD53F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67BE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2A1CC" w14:textId="77777777" w:rsidR="00376FF6" w:rsidRDefault="00376FF6">
      <w:r>
        <w:separator/>
      </w:r>
    </w:p>
  </w:endnote>
  <w:endnote w:type="continuationSeparator" w:id="0">
    <w:p w14:paraId="64E0311F" w14:textId="77777777" w:rsidR="00376FF6" w:rsidRDefault="0037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E9E81" w14:textId="77777777" w:rsidR="00376FF6" w:rsidRDefault="00376FF6">
      <w:r>
        <w:separator/>
      </w:r>
    </w:p>
  </w:footnote>
  <w:footnote w:type="continuationSeparator" w:id="0">
    <w:p w14:paraId="47D444A5" w14:textId="77777777" w:rsidR="00376FF6" w:rsidRDefault="00376FF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2024-08-13T07:42:00Z</dcterms:created>
  <dcterms:modified xsi:type="dcterms:W3CDTF">2024-08-13T07:42:00Z</dcterms:modified>
</cp:coreProperties>
</file>