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FA" w:rsidRDefault="009635FA" w:rsidP="009635F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1B DO SWZ </w:t>
      </w:r>
    </w:p>
    <w:p w:rsidR="000458BA" w:rsidRPr="000458BA" w:rsidRDefault="000458BA" w:rsidP="008B280E">
      <w:pPr>
        <w:pStyle w:val="Nagwek5"/>
        <w:spacing w:after="0"/>
        <w:rPr>
          <w:rFonts w:ascii="Arial" w:hAnsi="Arial" w:cs="Arial"/>
          <w:sz w:val="16"/>
          <w:szCs w:val="16"/>
        </w:rPr>
      </w:pPr>
    </w:p>
    <w:p w:rsidR="003D6F20" w:rsidRPr="00C363E1" w:rsidRDefault="003D6F20" w:rsidP="008B280E">
      <w:pPr>
        <w:pStyle w:val="Nagwek5"/>
        <w:spacing w:after="0"/>
        <w:rPr>
          <w:rFonts w:ascii="Arial" w:hAnsi="Arial" w:cs="Arial"/>
          <w:sz w:val="16"/>
          <w:szCs w:val="16"/>
        </w:rPr>
      </w:pPr>
      <w:r w:rsidRPr="00C363E1">
        <w:rPr>
          <w:rFonts w:ascii="Arial" w:hAnsi="Arial" w:cs="Arial"/>
          <w:bCs/>
          <w:sz w:val="16"/>
          <w:szCs w:val="16"/>
          <w:lang w:eastAsia="ar-SA"/>
        </w:rPr>
        <w:t>ZESTAWIENIE PARAMETRÓW I WARUNKÓW WYMAGANYCH</w:t>
      </w:r>
      <w:r w:rsidR="009635FA">
        <w:rPr>
          <w:rFonts w:ascii="Arial" w:hAnsi="Arial" w:cs="Arial"/>
          <w:bCs/>
          <w:sz w:val="16"/>
          <w:szCs w:val="16"/>
          <w:lang w:eastAsia="ar-SA"/>
        </w:rPr>
        <w:t xml:space="preserve"> –</w:t>
      </w:r>
      <w:r w:rsidR="00844476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0458BA">
        <w:rPr>
          <w:rFonts w:ascii="Arial" w:hAnsi="Arial" w:cs="Arial"/>
          <w:bCs/>
          <w:sz w:val="16"/>
          <w:szCs w:val="16"/>
          <w:lang w:eastAsia="ar-SA"/>
        </w:rPr>
        <w:t>POZ. 1</w:t>
      </w:r>
    </w:p>
    <w:p w:rsidR="000458BA" w:rsidRDefault="000458BA" w:rsidP="008B280E">
      <w:pPr>
        <w:pStyle w:val="Tekstpodstawowy"/>
        <w:spacing w:after="0"/>
        <w:rPr>
          <w:rFonts w:ascii="Arial" w:hAnsi="Arial" w:cs="Arial"/>
          <w:sz w:val="16"/>
          <w:szCs w:val="16"/>
        </w:rPr>
      </w:pPr>
    </w:p>
    <w:p w:rsidR="00EE12DE" w:rsidRPr="00C363E1" w:rsidRDefault="003D6F20" w:rsidP="008B280E">
      <w:pPr>
        <w:pStyle w:val="Tekstpodstawowy"/>
        <w:spacing w:after="0"/>
        <w:rPr>
          <w:rFonts w:ascii="Arial" w:hAnsi="Arial" w:cs="Arial"/>
          <w:b/>
          <w:sz w:val="16"/>
          <w:szCs w:val="16"/>
          <w:lang w:eastAsia="ar-SA"/>
        </w:rPr>
      </w:pPr>
      <w:r w:rsidRPr="00C363E1">
        <w:rPr>
          <w:rFonts w:ascii="Arial" w:hAnsi="Arial" w:cs="Arial"/>
          <w:sz w:val="16"/>
          <w:szCs w:val="16"/>
        </w:rPr>
        <w:t xml:space="preserve">Przedmiot zamówienia: </w:t>
      </w:r>
      <w:r w:rsidR="00087B81" w:rsidRPr="00C363E1">
        <w:rPr>
          <w:rFonts w:ascii="Arial" w:hAnsi="Arial" w:cs="Arial"/>
          <w:b/>
          <w:bCs/>
          <w:sz w:val="16"/>
          <w:szCs w:val="16"/>
        </w:rPr>
        <w:t>System monitorowania pacjentów – centrala monitorująca – 1 szt.</w:t>
      </w:r>
      <w:r w:rsidRPr="00C363E1">
        <w:rPr>
          <w:rFonts w:ascii="Arial" w:hAnsi="Arial" w:cs="Arial"/>
          <w:b/>
          <w:bCs/>
          <w:sz w:val="16"/>
          <w:szCs w:val="16"/>
        </w:rPr>
        <w:br/>
      </w:r>
      <w:r w:rsidRPr="00C363E1">
        <w:rPr>
          <w:rFonts w:ascii="Arial" w:hAnsi="Arial" w:cs="Arial"/>
          <w:sz w:val="16"/>
          <w:szCs w:val="16"/>
        </w:rPr>
        <w:t>Nazwa oferenta:</w:t>
      </w:r>
      <w:r w:rsidRPr="00C363E1">
        <w:rPr>
          <w:rFonts w:ascii="Arial" w:hAnsi="Arial" w:cs="Arial"/>
          <w:sz w:val="16"/>
          <w:szCs w:val="16"/>
        </w:rPr>
        <w:br/>
        <w:t>Producent:</w:t>
      </w:r>
      <w:r w:rsidRPr="00C363E1">
        <w:rPr>
          <w:rFonts w:ascii="Arial" w:hAnsi="Arial" w:cs="Arial"/>
          <w:sz w:val="16"/>
          <w:szCs w:val="16"/>
        </w:rPr>
        <w:br/>
      </w:r>
      <w:r w:rsidRPr="00C363E1">
        <w:rPr>
          <w:rFonts w:ascii="Arial" w:hAnsi="Arial" w:cs="Arial"/>
          <w:sz w:val="16"/>
          <w:szCs w:val="16"/>
          <w:lang w:eastAsia="ar-SA"/>
        </w:rPr>
        <w:t>Nazwa i typ</w:t>
      </w:r>
      <w:r w:rsidRPr="00C363E1">
        <w:rPr>
          <w:rFonts w:ascii="Arial" w:hAnsi="Arial" w:cs="Arial"/>
          <w:b/>
          <w:sz w:val="16"/>
          <w:szCs w:val="16"/>
          <w:lang w:eastAsia="ar-SA"/>
        </w:rPr>
        <w:t xml:space="preserve">: </w:t>
      </w:r>
    </w:p>
    <w:p w:rsidR="003D6F20" w:rsidRPr="00C363E1" w:rsidRDefault="00EE12DE" w:rsidP="000458BA">
      <w:pPr>
        <w:pStyle w:val="Tekstpodstawowy"/>
        <w:spacing w:after="0"/>
        <w:rPr>
          <w:rFonts w:ascii="Arial" w:hAnsi="Arial" w:cs="Arial"/>
          <w:sz w:val="16"/>
          <w:szCs w:val="16"/>
          <w:lang w:eastAsia="ar-SA"/>
        </w:rPr>
      </w:pPr>
      <w:r w:rsidRPr="00C363E1">
        <w:rPr>
          <w:rFonts w:ascii="Arial" w:hAnsi="Arial" w:cs="Arial"/>
          <w:sz w:val="16"/>
          <w:szCs w:val="16"/>
          <w:lang w:eastAsia="ar-SA"/>
        </w:rPr>
        <w:t>Aparat fabrycznie nowy (podać rok produkcji):</w:t>
      </w:r>
      <w:r w:rsidR="00991776" w:rsidRPr="00C363E1">
        <w:rPr>
          <w:rFonts w:ascii="Arial" w:hAnsi="Arial" w:cs="Arial"/>
          <w:sz w:val="16"/>
          <w:szCs w:val="16"/>
          <w:lang w:eastAsia="ar-SA"/>
        </w:rPr>
        <w:br/>
      </w:r>
    </w:p>
    <w:tbl>
      <w:tblPr>
        <w:tblW w:w="1404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689"/>
        <w:gridCol w:w="1417"/>
        <w:gridCol w:w="4526"/>
        <w:gridCol w:w="1149"/>
        <w:gridCol w:w="1701"/>
      </w:tblGrid>
      <w:tr w:rsidR="003D6F20" w:rsidRPr="00C363E1" w:rsidTr="00991776">
        <w:trPr>
          <w:gridAfter w:val="2"/>
          <w:wAfter w:w="2850" w:type="dxa"/>
          <w:trHeight w:val="960"/>
        </w:trPr>
        <w:tc>
          <w:tcPr>
            <w:tcW w:w="56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C363E1" w:rsidRDefault="003D6F20" w:rsidP="00A2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689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C363E1" w:rsidRDefault="003D6F20" w:rsidP="003D6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WYMAGANE PARAMETRY I WARUNKI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C363E1" w:rsidRDefault="003D6F20" w:rsidP="003D6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PARAMETR WYMAGANY</w:t>
            </w:r>
          </w:p>
        </w:tc>
        <w:tc>
          <w:tcPr>
            <w:tcW w:w="4526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C363E1" w:rsidRDefault="003D6F20" w:rsidP="003D6F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3D6F20" w:rsidRPr="00C363E1" w:rsidRDefault="003D6F20" w:rsidP="003D6F20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Wykonawca winien wskazać nr strony</w:t>
            </w:r>
            <w:r w:rsidRPr="00C363E1">
              <w:rPr>
                <w:rFonts w:ascii="Arial" w:hAnsi="Arial" w:cs="Arial"/>
                <w:sz w:val="16"/>
                <w:szCs w:val="16"/>
              </w:rPr>
              <w:t>, na której w załączonych  przedmiotowych środkach dowodowych potwierdzone jest spełnienie parametru.</w:t>
            </w:r>
          </w:p>
          <w:p w:rsidR="003D6F20" w:rsidRPr="00C363E1" w:rsidRDefault="003D6F20" w:rsidP="003D6F20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6F20" w:rsidRPr="00C363E1" w:rsidRDefault="003D6F20" w:rsidP="003D6F20">
            <w:pPr>
              <w:pStyle w:val="Default"/>
              <w:tabs>
                <w:tab w:val="num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 xml:space="preserve">Jednocześnie Wykonawca w załączonych przedmiotowych środkach dowodowych winien </w:t>
            </w:r>
            <w:r w:rsidRPr="00C363E1">
              <w:rPr>
                <w:rFonts w:ascii="Arial" w:hAnsi="Arial" w:cs="Arial"/>
                <w:b/>
                <w:sz w:val="16"/>
                <w:szCs w:val="16"/>
              </w:rPr>
              <w:t>wyraźnie wskazać </w:t>
            </w:r>
            <w:r w:rsidRPr="00C363E1">
              <w:rPr>
                <w:rFonts w:ascii="Arial" w:hAnsi="Arial" w:cs="Arial"/>
                <w:sz w:val="16"/>
                <w:szCs w:val="16"/>
              </w:rPr>
              <w:t>przy opisywanym parametrze </w:t>
            </w:r>
            <w:r w:rsidRPr="00C363E1">
              <w:rPr>
                <w:rFonts w:ascii="Arial" w:hAnsi="Arial" w:cs="Arial"/>
                <w:b/>
                <w:sz w:val="16"/>
                <w:szCs w:val="16"/>
              </w:rPr>
              <w:t>nr liczby</w:t>
            </w:r>
            <w:r w:rsidRPr="00C363E1">
              <w:rPr>
                <w:rFonts w:ascii="Arial" w:hAnsi="Arial" w:cs="Arial"/>
                <w:sz w:val="16"/>
                <w:szCs w:val="16"/>
              </w:rPr>
              <w:t xml:space="preserve"> porządkowej parametru wymaganego </w:t>
            </w:r>
            <w:r w:rsidRPr="00C363E1">
              <w:rPr>
                <w:rFonts w:ascii="Arial" w:hAnsi="Arial" w:cs="Arial"/>
                <w:sz w:val="16"/>
                <w:szCs w:val="16"/>
              </w:rPr>
              <w:br/>
              <w:t>z niniejszego formularza.</w:t>
            </w:r>
          </w:p>
          <w:p w:rsidR="003D6F20" w:rsidRPr="00C363E1" w:rsidRDefault="003D6F20" w:rsidP="003D6F20">
            <w:pPr>
              <w:pStyle w:val="Default"/>
              <w:tabs>
                <w:tab w:val="num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D6F20" w:rsidRPr="00C363E1" w:rsidRDefault="003D6F20" w:rsidP="003D6F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 przypadku zastosowania przez producenta innej nazwy parametru niż wymagany przez Zamawiającego, </w:t>
            </w:r>
            <w:r w:rsidRPr="00C363E1">
              <w:rPr>
                <w:rFonts w:ascii="Arial" w:hAnsi="Arial" w:cs="Arial"/>
                <w:b/>
                <w:sz w:val="16"/>
                <w:szCs w:val="16"/>
              </w:rPr>
              <w:t>Wykonawca winien udokumentować</w:t>
            </w:r>
            <w:r w:rsidRPr="00C363E1">
              <w:rPr>
                <w:rFonts w:ascii="Arial" w:hAnsi="Arial" w:cs="Arial"/>
                <w:sz w:val="16"/>
                <w:szCs w:val="16"/>
              </w:rPr>
              <w:t xml:space="preserve"> i wykazać tożsamość nazwy parametru producenta z nazwą parametru wymaganego przez Zamawiającego.</w:t>
            </w:r>
          </w:p>
        </w:tc>
      </w:tr>
      <w:tr w:rsidR="00E15E43" w:rsidRPr="00C363E1" w:rsidTr="00991776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43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System monitorowania pacjentów – centrala monitorująca – 1 szt.</w:t>
            </w:r>
          </w:p>
        </w:tc>
      </w:tr>
      <w:tr w:rsidR="001E7EC9" w:rsidRPr="00C363E1" w:rsidTr="00F54ED0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7EC9" w:rsidRPr="00C363E1" w:rsidRDefault="001E7EC9" w:rsidP="00F54E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EC9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w formie komputera klasy medycznej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EC9" w:rsidRPr="00C363E1" w:rsidRDefault="001E7EC9" w:rsidP="00F54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EC9" w:rsidRPr="00C363E1" w:rsidRDefault="001E7EC9" w:rsidP="00F54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wyposażone w awaryjne podtrzymanie zasilania na przynajmniej 20 minut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C363E1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585B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wyposażone w 2 ekrany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Ekrany stanowiska centralnego monitorowania LCD, panoramiczne, o przekątnej min. 21,5”. Rozdzielczość przynajmniej 1680x1050 pikseli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C363E1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Sterowanie funkcjami centrali poprzez mysz i klawiaturę USB, możliwość rozbudowy o sterowanie przez ekrany dotykowe.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C363E1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87B81" w:rsidRPr="00C363E1" w:rsidTr="00F54ED0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B81" w:rsidRPr="00C363E1" w:rsidRDefault="00087B81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funkcjonalny</w:t>
            </w:r>
          </w:p>
        </w:tc>
      </w:tr>
      <w:tr w:rsidR="00A2585B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zapewnia jednoczesny podgląd 6 oferowanych kardiomonitorów z możliwością rozbudowy do min. 16 stanowisk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C363E1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Stanowisko centralnego monitorowania kompatybilne z oferowanymi kardiomonitorami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C363E1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2585B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85B" w:rsidRPr="00C363E1" w:rsidRDefault="00A2585B" w:rsidP="00A258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zapewnia jednoczesny podgląd min. 2 krzywych dynamicznych jednocześnie dla każdego monitorowanego pacjenta, na ekranie zbiorczego podglądu pacjentów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5B" w:rsidRPr="00C363E1" w:rsidRDefault="00892695" w:rsidP="00A2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585B" w:rsidRPr="00C363E1" w:rsidRDefault="00A2585B" w:rsidP="00A2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Stanowisko centralnego monitorowania umożliwia szczegółowy podgląd wybranego pacjenta: mierzone krzywe dynamiczne i skojarzone parametry, szczegółowy podgląd danych archiwalnych: trendów tablicowych, graficznych, pełnych przebiegów krzywych dynamicznych (Full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Disclosure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 oraz historii zdarzeń alarmowych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Podgląd wybranego pacjenta realizowany na całym ekranie jednego z ekranów centrali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umożliwia podgląd min. 72 godzin trendów dla każdego pacjenta. Trendy tabelaryczne oraz graficzne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Stanowisko centralnego monitorowania wyposażone w wewnętrzną pamięć pełnych przebiegów krzywych dynamicznych (Full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Disclosure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): min. 120 godzin przynajmniej 12-tu krzywych dynamicznych (nie tylko EKG) dla każdego pacjenta.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umożliwia wykonywanie szczegółowych pomiarów krzywych dynamicznych (w tym zespołów QRS, odchylenia ST) z wykorzystaniem ekranowego narzędzia (np. suwmiarki).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Stanowisko centralnego monitorowania wyposażone w wewnętrzną pamięć zdarzeń alarmowych: min. 1000 zdarzeń na każdego monitorowanego pacjenta.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rozbudowy pamięci centrali do min. 2000 zdarzeń i przynajmniej 140 godzin pełnych przebiegów krzywych dynamicznych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>17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umożliwia konfigurację granic alarmowych, a także wyciszanie bieżących stanów alarmowych w monitorach pacjenta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umożliwia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centralnego monitorowania umożliwia rozbudowę o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centralnego monitorowania umożliwia drukowanie raportów, trendów i zapisów za pomocą sieciowej drukarki laserowej. W ofercie ujęta drukarka sieciowa kompatybilna z centralą – po jednej do każdego stanowiska centralnego monitorowania.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centralnego monitorowania umożliwia rozbudowę o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centralnego monitorowania umożliwia rozbudowę o zdalny podgląd monitorowanych pacjentów w czasie zbliżonym do rzeczywistego, za pośrednictwem komputerów PC z systemem Windows podłączonych do sieci informatycznej szpitala. Dostępny podgląd bieżących wartości parametrów, podgląd krzywych dynamicznych, a także trendów tabelarycznych.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23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komplecie ujęty ekran kopiujący centrali - umożliwiający zbiorczy podgląd wszystkich monitorowanych pacjentów w dyżurce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087B81" w:rsidP="0008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zdalnego dostępu do centrali w celach serwisowych: wstępnej diagnostyki, zmiany ustawień, wgrywania licencji, itp.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027CD" w:rsidRPr="00C363E1" w:rsidTr="00F54ED0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7CD" w:rsidRPr="00C363E1" w:rsidRDefault="00C027CD" w:rsidP="00F54E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Kardiomonitor stacjonarny wysokiej klasy – 6 szt.</w:t>
            </w: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integracji z dostępnym klinicznym systemem informatycznym (CIS) producenta oferowanego systemu monitorowania pacjenta, w polskiej wersji językowej, umożliwiającym prowadzenie 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skal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ocen (m.in.: APACHE II, GCS, TISS-28, SOFA), tworzenie zleceń lekarskich, dokumentację procesu opieki pielęgniarskiej, generowanie raportów (w tym karta znieczulenia).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 wyposażony w jedną zewnętrzną ramę na przynajmniej 2 zaawansowane moduły pomiarowe. Rama umożliwia również dokowanie kardiomonitora transportowego opisanego w Zadaniu nr 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Wszystkie elementy systemu monitorowania pacjenta chłodzone konwekcyjnie, pasywnie - bez użycia wentylatorów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Komunikacja z użytkownikiem w języku polskim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 wyposażony w tryb "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Standby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C027CD" w:rsidP="00070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54ED0" w:rsidRPr="00C363E1" w:rsidTr="00F54ED0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ED0" w:rsidRPr="00C363E1" w:rsidRDefault="00F54ED0" w:rsidP="00F54E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Praca w sieci centralnego monitorowania</w:t>
            </w:r>
          </w:p>
        </w:tc>
      </w:tr>
      <w:tr w:rsidR="00892695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54ED0" w:rsidP="00F54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pracy w sieci centralnego monitorowania, zgodnej ze standardem Ethernet.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54ED0" w:rsidP="00F54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Monitory umożliwiają wykorzystanie jednej fizycznej infrastruktury teleinformatycznej, do celu sieci centralnego monitorowania oraz innych aplikacji szpitalnych, w sposób zapewniający bezpieczeństwo i priorytet przesyłania wrażliwych danych medycznych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54ED0" w:rsidP="00F54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54ED0" w:rsidP="00F54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Monitory umożliwiają wyświetlanie informacji o alarmach występujących na pozostałych kardiomonitorach pracujących w sieci centralnego monitorowania. Możliwość konfiguracji stanowisk, pomiędzy którymi mają być wymieniane informacje o alarmach.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54ED0" w:rsidP="00F54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Monitory zapewniają automatyczne otwarcie ekranu zdalnego monitora w momencie wystąpienia zdarzenia alarmowego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54ED0" w:rsidP="00C02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drukowania krzywych, raportów, na podłączonej do sieci centralnego monitorowania tradycyjnej drukarce laserowej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070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ofercie do każdego monitora uchwyt montażowy do ściany zapewniający min. obrót i zmianę wysokości. Dostępne uchwyty montażowe monitora: do ściany, aparatu do znieczulania i podstawa jezdna z hamulcem i koszem na akcesoria.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E493A" w:rsidRPr="00C363E1" w:rsidTr="009635FA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3A" w:rsidRPr="00C363E1" w:rsidRDefault="00FE493A" w:rsidP="009635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Monitor stacjonarny</w:t>
            </w: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 wyposażony w dotykowy ekran o przekątnej min. 19" i rozdzielczości min. 1280 x 1024 pikseli. Umożliwia wyświetlanie przynajmniej 10 krzywych dynamicznych jednocześnie i pełną obsługę funkcji monitorowania pacjenta.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podłączenia dodatkowego ekranu powielającego o przekątnej min. 19”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Obsługa kardiomonitora poprzez ekran dotykowy. Możliwość podłączenia klawiatury i myszy do portu USB. Możliwość sterowania przyciskami na wybranych modułach. Możliwość podłączenia czytnika kodów kreskowych do portu USB.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369B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wyboru spośród przynajmniej 16 różnych układów (widoków) ekranu, z możliwością edycji i zapisu przynajmniej 6 z nich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369B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stacjonarny wykorzystuje kardiomonitor transportowy, opisany w Zadaniu nr 2, jako moduł pomiarowy podstawowych parametrów życiowych, min. EKG, SpO2, NIBP, 2x Temp, 2x IBP – z możliwością rozbudowy o pomiar min. dodatkowych 2 kanałów IBP oraz CO2 w strumieniu bocznym 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E493A" w:rsidRPr="00C363E1" w:rsidTr="009635FA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3A" w:rsidRPr="00C363E1" w:rsidRDefault="00FE493A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Wymagania dotyczące monitorowanych parametrów </w:t>
            </w:r>
          </w:p>
        </w:tc>
      </w:tr>
      <w:tr w:rsidR="00892695" w:rsidRPr="00C363E1" w:rsidTr="008369B6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EKG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Monitorowanie przynajmniej 1 z 3, 7 i 12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odprowadzeń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z jakością diagnostyczną, w zależności od użytego przewodu EKG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monitorowania 12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odprowadzeń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Jednoczesna prezentacja przynajmniej 3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odprowadzeń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EKG na ekranie głównym kardiomonitora (bez wykorzystania okna 12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odprowadzeń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EKG): 3 różne odprowadzenia lub widok kaskady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jednoczesnej prezentacji wszystkich 12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odprowadzeń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EKG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częstości akcji serca w zakresie min. 20 - 300 ud/min.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Oferowane monitory umożliwiają pomiar i analizę EKG spoczynkowego z 12-odprowadzeń z interpretacją. Funkcja analizy dostępna jednocześnie w każdym kardiomonitorze. Dopuszcza się realizację tej funkcjonalności przez zewnętrzny aparat EKG na podstawie jezdnej, z trybem monitorowania ciągłego - w takiej sytuacji należy zaoferować 1 szt. takiego aparatu na każdy oferowany kardiomonitor.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Analiza EKG dostępna bezpośrednio w monitorze pacjenta,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zawieraja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kryteria specyficzne dla danej płci i wieku oraz narzędzie do niezależnej czasowo predykcji ostrego niedokrwienia serca (ACS oraz ACI-TIPI), z możliwością zgłaszania bólu w klatce piersiowej, eksportu pomiarów w jakości diagnostycznej (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raw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-data) do zewnętrznego systemu </w:t>
            </w: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analizy EKG tego samego producenta, umożliwiającego automatyczną i ręczną opisową analizę EKG, z możliwością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komplecie do każdego monitora: przewód do podłączenia 6- elektrod dla dorosłych i dzieci. Długość przewodów łączących monitor z pacjentem przynajmniej 4m. Dodatkowo na całą instalację 1 komplet przewodów do diagnostycznego monitorowania 12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odprowadzeń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EKG.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2A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Wieloodprowadzeniowa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analiza arytmii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Analiza arytmii w przynajmniej 4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odprowadzeniach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EKG jednocześnie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Zaawansowana analiza arytmii wg przynajmniej 12 definicji z rozpoznawaniem arytmii komorowych i przedsionkowych, w tym migotania przedsionków. Dopuszcza się realizację tej funkcjonalności przez zewnętrzny aparat EKG na podstawie jezdnej, z trybem monitorowania ciągłego - w takiej sytuacji należy zaoferować 1 szt. takiego aparatu na każdy oferowany kardiomonitor.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Analiza ST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Analiza odcinka ST ze wszystkich monitorowanych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odprowadzeń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12)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Analiza prowadzona automatycznie z zapisywaniem wyników w pamięci trendów. Możliwość ręcznego ustawienia poziomu ISO oraz ST z funkcją zapisu pomiarów referencyjnych.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 pomiarowy analizy odcinka ST min. -15,0 -(+) 15,0 mm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i wyświetlenie na ekranie monitora wartości QT i/lub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QTc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Oddech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2A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częstości oddechu metodą impedancyjną w zakresie min. 4-120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odd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/min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Prezentacja częstości oddechu oraz krzywej oddechowej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2A6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zmiany odprowadzenia wykorzystywanego do pomiaru oddechu, w celu dostosowania do pacjentów oddychających przeponą lub szczytami płuc, bez konieczności fizycznego przepinania przewodów do elektrod.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Saturacja (SpO2)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TruSignal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Masimo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rainbow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SET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zmiany wykorzystywanego algorytmu pomiarowego na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Nellcor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Oximax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 konieczności wymiany modułu transportowego i odsyłania go do serwisu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saturacji w zakresie min. 70-100%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Prezentacja wartości saturacji, krzywej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pletyzmograficznej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wyboru SPO2 jako źródła częstości rytmu serca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Modulacja dźwięku tętna przy zmianie wartości % SpO2.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komplecie do każdego monitora: przewód podłączeniowy dł. min. 3m oraz wielorazowy czujnik na palec dla dorosłych. Oryginalne akcesoria pomiarowe producenta algorytmu pomiarowego.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ciśnienia metodą nieinwazyjną (NIBP)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metodą oscylometryczną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2A6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Tak / </w:t>
            </w:r>
            <w:r w:rsidR="002A62BD"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2695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FE493A" w:rsidP="00FE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695" w:rsidRPr="00C363E1" w:rsidRDefault="00892695" w:rsidP="00892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695" w:rsidRPr="00C363E1" w:rsidRDefault="00892695" w:rsidP="00892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Prezentacja wartości: skurczowej, rozkurczowej oraz średniej.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komplecie do każdego monitora: wężyk z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szybkozłączką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Mankiety dla pacjentów otyłych stożkowe, dedykowane i walidowane do pomiaru na przedramieniu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Temperatura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NIE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temperatury w 2 kanałach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ustawienia etykiet temperatur wg. miejsca pomiaru – w tym wpisanie własnych nazw etykiet, łącznie min. 18 nazw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komplecie do każdego monitora: wielorazowy czujnik temperatury skóry oraz wielorazowy czujnik temperatury głębokiej dla dorosłych/dzieci.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ciśnienia metodą inwazyjną (IBP)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ciśnienia metodą inwazyjną w 2 kanałach. Możliwość rozbudowy każdego monitora o pomiar IBP w przynajmniej 4 kanałach (również w transporcie)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ciśnienia w zakresie przynajmniej - 20 do 320 mmHg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SPV ręczny, w dedykowanej zakładce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A342A9" w:rsidP="00105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Automatyczny, ciągły pomiar i jednoczesna prezentacja na ekranie głównym kardiomonitora parametrów PPV i SPV, z wybranego kanału ciśnienia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A342A9" w:rsidP="00A3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komplecie do każdego monitora przewody do podłączenia przetworników Edwards (po jednym na każdy oferowany kanał)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342A9" w:rsidRPr="00C363E1" w:rsidTr="009635FA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2A9" w:rsidRPr="00C363E1" w:rsidRDefault="00A342A9" w:rsidP="009635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Ciągły pomiar rzutu minutowego serca – 1 szt. na cały zestaw</w:t>
            </w: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realizowany metodą analizy kształtu fali ciśnienia tętniczego, kalibrowany metodą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termodylucji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przezpłucnej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realizowany za pomocą kompatybilnego modułu pomiarowego przenoszonego pomiędzy kardiomonitorami lub urządzenia zewnętrznego, zapewniającego wyświetlanie monitorowanych parametrów na ekranie oferowanego kardiomonitora.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Prezentacja danych na ekranie kardiomonitora w formie graficznej z wykorzystaniem tzw. wykresu radarowego, w którym każdy wycinek radaru reprezentuje wybrany przez użytkownika parametr, a jego odchylenia od ustalonych zakresów sygnalizowane są kolorystycznie.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komplecie: komplet 10 szt. akcesoriów do podłączania jednorazowych zestawów pomiarowych. W przypadku oferowania urządzenia zewnętrznego, w ofercie ujęte dodatkowo: podstawa jezdna z koszem na akcesoria i hamulcem oraz przewody do połączenia z kardiomonitorem.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255" w:rsidRPr="00C363E1" w:rsidTr="009635FA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255" w:rsidRPr="00C363E1" w:rsidRDefault="009C1255" w:rsidP="009635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Pomiar kapnografii (CO2) – 1 na cały zestaw</w:t>
            </w: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stężenia dwutlenku węgla w wydychanym powietrzu metodą strumienia bocznego, u pacjentów zaintubowanych i niezaintubowanych, dostępny stacjonarnie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komplecie do każdego monitora komplet 10 akcesoriów jednorazowych do pomiaru u pacjentów zaintubowanych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62EA7" w:rsidRPr="00C363E1" w:rsidTr="009635FA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2EA7" w:rsidRPr="00C363E1" w:rsidRDefault="00062EA7" w:rsidP="009635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Możliwość rozbudowy</w:t>
            </w: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2EA7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rozbudowy o pomiar wydatku energetycznego pacjenta metodą kalorymetrii pośredniej (zużycie tlenu i produkcja CO2), z wykorzystaniem paramagnetycznego czujnika tlenu niewymagającego kalibracji przed każdym pomiarem, z obrazowaniem parametrów: VO2, VCO2, VO2/m2, VCO2/m2, VO2/kg, VCO2/kg, EE i RQ.</w:t>
            </w:r>
          </w:p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realizowany z wykorzystaniem pojedynczego modułu gazowo-spirometrycznego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rozbudowy o pomiar rzutu minutowego serca metodą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termodylucji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z wykorzystaniem cewnika Swan-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Ganz'a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rozbudowy o 4-kanałowy pomiar EEG z widokiem CSA i możliwością pojedynczego i ciągłego pomiaru słuchowych potencjałów wywołanych pnia mózgu (BAEP) oraz aktywności mięśnia czołowego.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rozbudowy o pomiar zwiotczenia mięśni przez monitorowanie transmisji nerwowo-mięśniowej NMT. Pomiar metodą nie wymagającą detekcji ruchu mięśni na skutek stymulacji bodźcem elektrycznym. Sygnalizacja dźwiękowa impulsów stymulacji oraz ustępowania blokady. Możliwość wykorzystania jednego czujnika u pacjentów dorosłych i dzieci, na dłoni i stopie. Możliwość wykorzystania modułu do lokalizacji nerwu przy zabiegach prowadzonych w blokadzie regionalnej. </w:t>
            </w: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rozbudowy o monitorowanie poziomu analgezji poprzez analizę reakcji hemodynamicznej pacjenta na bodźce 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nocyceptywne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środki przeciwbólowe. Pomiar realizowany z wykorzystaniem modułu oferowanego systemu monitorowania pacjenta, za pośrednictwem czujnika saturacji.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D365B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rozbudowy o monitorowanie głębokości uśpienia. Pomiar realizowany przez analizę sygnału EEG, wspomaganego pomiarem elektromiografii mięśni twarzy, z obliczaniem parametrów SE, RE i BSR oraz graficzną prezentacją pomiaru na wspólnym wykresie z pomiarem poziomu analgezji.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Alarmy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zmiany priorytetu alarmów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82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Alarmy techniczne z podaniem przyczyny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wyciszenia alarmów. Regulacja czasu wyciszenia alarmów w zakresie przynajmniej: 2 i 5 minut oraz bez limitu czasowego.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zablokowania funkcji całkowitego wyłączenia bądź wyciszenia alarmów - zabezpieczona hasłem.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082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Tak / </w:t>
            </w:r>
            <w:r w:rsidR="00082557"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B280E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 wyposażony w pamięć przynajmniej 900 zdarzeń alarmowych i 400 wycinków zawierających fragmenty min. 5 krzywych dynamicznych z chwili wystąpienia zdarzenia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Możliwość zapisywania zdarzeń alarmowych wraz z opisem dodawanym ręcznie przez użytkownika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Trendy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Stanowisko monitorowania pacjenta wyposażone w pamięć trendów z ostatnich min. 72 godzin z rozdzielczością 1-minutową.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wyświetlania trendów w formie graficznej i tabelarycznej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082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Tak / </w:t>
            </w:r>
            <w:r w:rsidR="00082557"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Monitor wyposażony w funkcję obliczeń hemodynamicznych, utlenowania oraz wentylacji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082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Tak / </w:t>
            </w:r>
            <w:r w:rsidR="00082557"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C36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Kalkulator dawek leków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280E" w:rsidRPr="00C363E1" w:rsidTr="008926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82557" w:rsidP="00082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062EA7" w:rsidP="00062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zdalnego dostępu do kardiomonitorów w celach serwisowych: wstępnej diagnostyki monitora i podłączonych modułów, zmiany ustawień, wgrywania licencji, itp.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80E" w:rsidRPr="00C363E1" w:rsidRDefault="008B280E" w:rsidP="008B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80E" w:rsidRPr="00C363E1" w:rsidRDefault="008B280E" w:rsidP="008B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2F47" w:rsidRPr="00C363E1" w:rsidTr="008B280E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1199" w:type="dxa"/>
            <w:gridSpan w:val="4"/>
            <w:shd w:val="clear" w:color="auto" w:fill="FFFFFF"/>
            <w:vAlign w:val="center"/>
          </w:tcPr>
          <w:p w:rsidR="007C2F47" w:rsidRPr="00C363E1" w:rsidRDefault="001E7EC9" w:rsidP="007C2F47">
            <w:p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Warunki dodatkowe</w:t>
            </w:r>
          </w:p>
        </w:tc>
        <w:tc>
          <w:tcPr>
            <w:tcW w:w="1149" w:type="dxa"/>
          </w:tcPr>
          <w:p w:rsidR="007C2F47" w:rsidRPr="00C363E1" w:rsidRDefault="007C2F47" w:rsidP="007C2F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C2F47" w:rsidRPr="00C363E1" w:rsidRDefault="007C2F47" w:rsidP="007C2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 xml:space="preserve">Okres gwarancji na wszystkie elementy dostawy od momentu uruchomienia i protokolarnego odbioru całości zrealizowanego zamówienia </w:t>
            </w:r>
            <w:r w:rsidR="006B5109">
              <w:rPr>
                <w:rFonts w:ascii="Arial" w:hAnsi="Arial" w:cs="Arial"/>
                <w:sz w:val="16"/>
                <w:szCs w:val="16"/>
              </w:rPr>
              <w:t>(min.24m-ce).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Wymagane dokumenty:</w:t>
            </w:r>
          </w:p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 xml:space="preserve">• Deklaracja Zgodności , </w:t>
            </w:r>
          </w:p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• wpis lub zgłoszenie do Rejestru Wyrobów Medycznych</w:t>
            </w:r>
          </w:p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• certyfikat ISO 9001:2008 lub równoważny  potwierdzający zdolność do ciągłego dostarczania wyrobów zgodnie z wymaganiami</w:t>
            </w:r>
          </w:p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• certyfikat ISO 13485:2012   potwierdzający, że producent wdrożył i utrzymuje system zarządzania jakością dla wyrobów medycznych.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Możliwość zgłaszania usterek – należy podać sposób oraz dane teleadresowe.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Termin usunięcia usterki od momentu przyjęcia zgłoszenia nie dłuższy niż 5 dni roboczych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128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Na czas naprawy/innej usługi serwisowej elementu dostawy Wykonawca, w przypadku przekroczenia terminu przeznaczonego na naprawę, na żądanie Zamawiającego dostarczy do 3 dni roboczych zamiennie analogiczny element dostawy.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Wymiana uszkodzonego podzespołu na nowy podzespół po 3 naprawach gwarancyjnych.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Każdy czas trwania naprawy gwarancyjnej powoduje przedłużenie okresu gwarancji o czas trwania naprawy.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52FF8" w:rsidRPr="00C363E1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4689" w:type="dxa"/>
            <w:shd w:val="clear" w:color="auto" w:fill="auto"/>
          </w:tcPr>
          <w:p w:rsidR="00E52FF8" w:rsidRPr="00C363E1" w:rsidRDefault="00E52FF8" w:rsidP="00E52F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Okres zagwarantowania dostępności części zamiennych od daty sprzedaży w latach min. 7 lat.</w:t>
            </w:r>
          </w:p>
        </w:tc>
        <w:tc>
          <w:tcPr>
            <w:tcW w:w="1417" w:type="dxa"/>
            <w:shd w:val="clear" w:color="auto" w:fill="FFFFFF"/>
          </w:tcPr>
          <w:p w:rsidR="00E52FF8" w:rsidRPr="00C363E1" w:rsidRDefault="00E52FF8" w:rsidP="00E52F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E52FF8" w:rsidRPr="00C363E1" w:rsidRDefault="00E52FF8" w:rsidP="00E52FF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05260B" w:rsidRDefault="0005260B" w:rsidP="00991776">
      <w:pPr>
        <w:rPr>
          <w:rFonts w:ascii="Arial" w:hAnsi="Arial" w:cs="Arial"/>
          <w:b/>
          <w:sz w:val="16"/>
          <w:szCs w:val="16"/>
        </w:rPr>
      </w:pPr>
    </w:p>
    <w:p w:rsidR="00991776" w:rsidRPr="00C363E1" w:rsidRDefault="00991776" w:rsidP="00991776">
      <w:pPr>
        <w:rPr>
          <w:rFonts w:ascii="Arial" w:hAnsi="Arial" w:cs="Arial"/>
          <w:sz w:val="16"/>
          <w:szCs w:val="16"/>
        </w:rPr>
      </w:pPr>
      <w:r w:rsidRPr="00C363E1">
        <w:rPr>
          <w:rFonts w:ascii="Arial" w:hAnsi="Arial" w:cs="Arial"/>
          <w:b/>
          <w:sz w:val="16"/>
          <w:szCs w:val="16"/>
        </w:rPr>
        <w:t>UWAGA :</w:t>
      </w:r>
      <w:r w:rsidRPr="00C363E1">
        <w:rPr>
          <w:rFonts w:ascii="Arial" w:hAnsi="Arial" w:cs="Arial"/>
          <w:b/>
          <w:sz w:val="16"/>
          <w:szCs w:val="16"/>
        </w:rPr>
        <w:tab/>
      </w:r>
    </w:p>
    <w:p w:rsidR="00991776" w:rsidRDefault="00991776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  <w:r w:rsidRPr="00C363E1">
        <w:rPr>
          <w:rFonts w:ascii="Arial" w:hAnsi="Arial" w:cs="Arial"/>
          <w:b/>
          <w:sz w:val="16"/>
          <w:szCs w:val="16"/>
          <w:lang w:eastAsia="ar-SA"/>
        </w:rPr>
        <w:t>Nie spełnienie wymaganych parametrów i warunków spowoduje odrzucenie oferty.</w:t>
      </w:r>
    </w:p>
    <w:p w:rsidR="0005260B" w:rsidRPr="00C363E1" w:rsidRDefault="0005260B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E62DF8" w:rsidRDefault="00E62DF8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  <w:bookmarkStart w:id="0" w:name="_GoBack"/>
      <w:bookmarkEnd w:id="0"/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0458BA" w:rsidRPr="00C363E1" w:rsidRDefault="000458BA" w:rsidP="00991776">
      <w:pPr>
        <w:spacing w:after="0"/>
        <w:ind w:left="-142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E62DF8" w:rsidRPr="00C363E1" w:rsidRDefault="00E62DF8" w:rsidP="00E62DF8">
      <w:pPr>
        <w:pStyle w:val="Nagwek5"/>
        <w:spacing w:after="0"/>
        <w:rPr>
          <w:rFonts w:ascii="Arial" w:hAnsi="Arial" w:cs="Arial"/>
          <w:sz w:val="16"/>
          <w:szCs w:val="16"/>
        </w:rPr>
      </w:pPr>
      <w:r w:rsidRPr="00C363E1">
        <w:rPr>
          <w:rFonts w:ascii="Arial" w:hAnsi="Arial" w:cs="Arial"/>
          <w:bCs/>
          <w:sz w:val="16"/>
          <w:szCs w:val="16"/>
          <w:lang w:eastAsia="ar-SA"/>
        </w:rPr>
        <w:t>ZESTAWIENIE PARAMETRÓW I WARUNKÓW WYMAGANYCH</w:t>
      </w:r>
      <w:r w:rsidR="000458BA">
        <w:rPr>
          <w:rFonts w:ascii="Arial" w:hAnsi="Arial" w:cs="Arial"/>
          <w:bCs/>
          <w:sz w:val="16"/>
          <w:szCs w:val="16"/>
          <w:lang w:eastAsia="ar-SA"/>
        </w:rPr>
        <w:t xml:space="preserve"> –</w:t>
      </w:r>
      <w:r w:rsidR="00844476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0458BA">
        <w:rPr>
          <w:rFonts w:ascii="Arial" w:hAnsi="Arial" w:cs="Arial"/>
          <w:bCs/>
          <w:sz w:val="16"/>
          <w:szCs w:val="16"/>
          <w:lang w:eastAsia="ar-SA"/>
        </w:rPr>
        <w:t>POZ. 2</w:t>
      </w:r>
    </w:p>
    <w:p w:rsidR="000458BA" w:rsidRDefault="000458BA" w:rsidP="00E62DF8">
      <w:pPr>
        <w:pStyle w:val="Tekstpodstawowy"/>
        <w:spacing w:after="0"/>
        <w:rPr>
          <w:rFonts w:ascii="Arial" w:hAnsi="Arial" w:cs="Arial"/>
          <w:sz w:val="16"/>
          <w:szCs w:val="16"/>
        </w:rPr>
      </w:pPr>
    </w:p>
    <w:p w:rsidR="000458BA" w:rsidRDefault="000458BA" w:rsidP="00E62DF8">
      <w:pPr>
        <w:pStyle w:val="Tekstpodstawowy"/>
        <w:spacing w:after="0"/>
        <w:rPr>
          <w:rFonts w:ascii="Arial" w:hAnsi="Arial" w:cs="Arial"/>
          <w:sz w:val="16"/>
          <w:szCs w:val="16"/>
        </w:rPr>
      </w:pPr>
    </w:p>
    <w:p w:rsidR="00E62DF8" w:rsidRPr="00C363E1" w:rsidRDefault="00E62DF8" w:rsidP="00E62DF8">
      <w:pPr>
        <w:pStyle w:val="Tekstpodstawowy"/>
        <w:spacing w:after="0"/>
        <w:rPr>
          <w:rFonts w:ascii="Arial" w:hAnsi="Arial" w:cs="Arial"/>
          <w:b/>
          <w:sz w:val="16"/>
          <w:szCs w:val="16"/>
          <w:lang w:eastAsia="ar-SA"/>
        </w:rPr>
      </w:pPr>
      <w:r w:rsidRPr="00C363E1">
        <w:rPr>
          <w:rFonts w:ascii="Arial" w:hAnsi="Arial" w:cs="Arial"/>
          <w:sz w:val="16"/>
          <w:szCs w:val="16"/>
        </w:rPr>
        <w:t xml:space="preserve">Przedmiot zamówienia: </w:t>
      </w:r>
      <w:r w:rsidR="00844476">
        <w:rPr>
          <w:rFonts w:ascii="Arial" w:hAnsi="Arial" w:cs="Arial"/>
          <w:b/>
          <w:bCs/>
          <w:sz w:val="16"/>
          <w:szCs w:val="16"/>
        </w:rPr>
        <w:t>S</w:t>
      </w:r>
      <w:r w:rsidR="00844476" w:rsidRPr="00C363E1">
        <w:rPr>
          <w:rFonts w:ascii="Arial" w:hAnsi="Arial" w:cs="Arial"/>
          <w:b/>
          <w:bCs/>
          <w:sz w:val="16"/>
          <w:szCs w:val="16"/>
        </w:rPr>
        <w:t xml:space="preserve">ystem monitorowania pacjentów </w:t>
      </w:r>
      <w:r w:rsidR="00844476">
        <w:rPr>
          <w:rFonts w:ascii="Arial" w:hAnsi="Arial" w:cs="Arial"/>
          <w:b/>
          <w:bCs/>
          <w:sz w:val="16"/>
          <w:szCs w:val="16"/>
        </w:rPr>
        <w:t>– k</w:t>
      </w:r>
      <w:r w:rsidRPr="00C363E1">
        <w:rPr>
          <w:rFonts w:ascii="Arial" w:hAnsi="Arial" w:cs="Arial"/>
          <w:b/>
          <w:bCs/>
          <w:sz w:val="16"/>
          <w:szCs w:val="16"/>
        </w:rPr>
        <w:t>ardiomonitory</w:t>
      </w:r>
      <w:r w:rsidR="00844476">
        <w:rPr>
          <w:rFonts w:ascii="Arial" w:hAnsi="Arial" w:cs="Arial"/>
          <w:b/>
          <w:bCs/>
          <w:sz w:val="16"/>
          <w:szCs w:val="16"/>
        </w:rPr>
        <w:t xml:space="preserve"> </w:t>
      </w:r>
      <w:r w:rsidRPr="00C363E1">
        <w:rPr>
          <w:rFonts w:ascii="Arial" w:hAnsi="Arial" w:cs="Arial"/>
          <w:b/>
          <w:bCs/>
          <w:sz w:val="16"/>
          <w:szCs w:val="16"/>
        </w:rPr>
        <w:t>– 6 szt.</w:t>
      </w:r>
      <w:r w:rsidRPr="00C363E1">
        <w:rPr>
          <w:rFonts w:ascii="Arial" w:hAnsi="Arial" w:cs="Arial"/>
          <w:b/>
          <w:bCs/>
          <w:sz w:val="16"/>
          <w:szCs w:val="16"/>
        </w:rPr>
        <w:br/>
      </w:r>
      <w:r w:rsidRPr="00C363E1">
        <w:rPr>
          <w:rFonts w:ascii="Arial" w:hAnsi="Arial" w:cs="Arial"/>
          <w:sz w:val="16"/>
          <w:szCs w:val="16"/>
        </w:rPr>
        <w:t>Nazwa oferenta:</w:t>
      </w:r>
      <w:r w:rsidRPr="00C363E1">
        <w:rPr>
          <w:rFonts w:ascii="Arial" w:hAnsi="Arial" w:cs="Arial"/>
          <w:sz w:val="16"/>
          <w:szCs w:val="16"/>
        </w:rPr>
        <w:br/>
        <w:t>Producent:</w:t>
      </w:r>
      <w:r w:rsidRPr="00C363E1">
        <w:rPr>
          <w:rFonts w:ascii="Arial" w:hAnsi="Arial" w:cs="Arial"/>
          <w:sz w:val="16"/>
          <w:szCs w:val="16"/>
        </w:rPr>
        <w:br/>
      </w:r>
      <w:r w:rsidRPr="00C363E1">
        <w:rPr>
          <w:rFonts w:ascii="Arial" w:hAnsi="Arial" w:cs="Arial"/>
          <w:sz w:val="16"/>
          <w:szCs w:val="16"/>
          <w:lang w:eastAsia="ar-SA"/>
        </w:rPr>
        <w:t>Nazwa i typ</w:t>
      </w:r>
      <w:r w:rsidRPr="00C363E1">
        <w:rPr>
          <w:rFonts w:ascii="Arial" w:hAnsi="Arial" w:cs="Arial"/>
          <w:b/>
          <w:sz w:val="16"/>
          <w:szCs w:val="16"/>
          <w:lang w:eastAsia="ar-SA"/>
        </w:rPr>
        <w:t xml:space="preserve">: </w:t>
      </w:r>
    </w:p>
    <w:p w:rsidR="00E62DF8" w:rsidRPr="00C363E1" w:rsidRDefault="00E62DF8" w:rsidP="00E62DF8">
      <w:pPr>
        <w:pStyle w:val="Tekstpodstawowy"/>
        <w:spacing w:after="0"/>
        <w:rPr>
          <w:rFonts w:ascii="Arial" w:hAnsi="Arial" w:cs="Arial"/>
          <w:sz w:val="16"/>
          <w:szCs w:val="16"/>
        </w:rPr>
      </w:pPr>
      <w:r w:rsidRPr="00C363E1">
        <w:rPr>
          <w:rFonts w:ascii="Arial" w:hAnsi="Arial" w:cs="Arial"/>
          <w:sz w:val="16"/>
          <w:szCs w:val="16"/>
          <w:lang w:eastAsia="ar-SA"/>
        </w:rPr>
        <w:t>Aparat fabrycznie nowy (podać rok produkcji):</w:t>
      </w:r>
      <w:r w:rsidRPr="00C363E1">
        <w:rPr>
          <w:rFonts w:ascii="Arial" w:hAnsi="Arial" w:cs="Arial"/>
          <w:sz w:val="16"/>
          <w:szCs w:val="16"/>
          <w:lang w:eastAsia="ar-SA"/>
        </w:rPr>
        <w:br/>
      </w:r>
    </w:p>
    <w:p w:rsidR="00E62DF8" w:rsidRPr="00C363E1" w:rsidRDefault="00E62DF8" w:rsidP="00E62DF8">
      <w:pPr>
        <w:spacing w:after="0" w:line="240" w:lineRule="auto"/>
        <w:ind w:left="-142"/>
        <w:jc w:val="both"/>
        <w:rPr>
          <w:rFonts w:ascii="Arial" w:hAnsi="Arial" w:cs="Arial"/>
          <w:sz w:val="16"/>
          <w:szCs w:val="16"/>
          <w:lang w:eastAsia="ar-SA"/>
        </w:rPr>
      </w:pPr>
    </w:p>
    <w:tbl>
      <w:tblPr>
        <w:tblW w:w="1404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689"/>
        <w:gridCol w:w="1417"/>
        <w:gridCol w:w="4526"/>
        <w:gridCol w:w="1149"/>
        <w:gridCol w:w="1701"/>
      </w:tblGrid>
      <w:tr w:rsidR="00E62DF8" w:rsidRPr="00C363E1" w:rsidTr="009635FA">
        <w:trPr>
          <w:gridAfter w:val="2"/>
          <w:wAfter w:w="2850" w:type="dxa"/>
          <w:trHeight w:val="960"/>
        </w:trPr>
        <w:tc>
          <w:tcPr>
            <w:tcW w:w="56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E62DF8" w:rsidP="00963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689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E62DF8" w:rsidP="00963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WYMAGANE PARAMETRY I WARUNKI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E62DF8" w:rsidP="00963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PARAMETR WYMAGANY</w:t>
            </w:r>
          </w:p>
        </w:tc>
        <w:tc>
          <w:tcPr>
            <w:tcW w:w="4526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E62DF8" w:rsidRPr="00C363E1" w:rsidRDefault="00E62DF8" w:rsidP="009635F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Wykonawca winien wskazać nr strony</w:t>
            </w:r>
            <w:r w:rsidRPr="00C363E1">
              <w:rPr>
                <w:rFonts w:ascii="Arial" w:hAnsi="Arial" w:cs="Arial"/>
                <w:sz w:val="16"/>
                <w:szCs w:val="16"/>
              </w:rPr>
              <w:t>, na której w załączonych  przedmiotowych środkach dowodowych potwierdzone jest spełnienie parametru.</w:t>
            </w:r>
          </w:p>
          <w:p w:rsidR="00E62DF8" w:rsidRPr="00C363E1" w:rsidRDefault="00E62DF8" w:rsidP="009635FA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2DF8" w:rsidRPr="00C363E1" w:rsidRDefault="00E62DF8" w:rsidP="000458BA">
            <w:pPr>
              <w:pStyle w:val="Default"/>
              <w:tabs>
                <w:tab w:val="num" w:pos="0"/>
              </w:tabs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Jednocześnie Wykonawca w załączonych przedmioto</w:t>
            </w:r>
            <w:r w:rsidR="000458BA">
              <w:rPr>
                <w:rFonts w:ascii="Arial" w:hAnsi="Arial" w:cs="Arial"/>
                <w:sz w:val="16"/>
                <w:szCs w:val="16"/>
              </w:rPr>
              <w:t>wych środkach dowodowych winien w</w:t>
            </w:r>
            <w:r w:rsidRPr="00C363E1">
              <w:rPr>
                <w:rFonts w:ascii="Arial" w:hAnsi="Arial" w:cs="Arial"/>
                <w:b/>
                <w:sz w:val="16"/>
                <w:szCs w:val="16"/>
              </w:rPr>
              <w:t>yraźnie wskazać </w:t>
            </w:r>
            <w:r w:rsidRPr="00C363E1">
              <w:rPr>
                <w:rFonts w:ascii="Arial" w:hAnsi="Arial" w:cs="Arial"/>
                <w:sz w:val="16"/>
                <w:szCs w:val="16"/>
              </w:rPr>
              <w:t>przy opisywanym parametrze </w:t>
            </w:r>
            <w:r w:rsidRPr="00C363E1">
              <w:rPr>
                <w:rFonts w:ascii="Arial" w:hAnsi="Arial" w:cs="Arial"/>
                <w:b/>
                <w:sz w:val="16"/>
                <w:szCs w:val="16"/>
              </w:rPr>
              <w:t>nr liczby</w:t>
            </w:r>
            <w:r w:rsidRPr="00C363E1">
              <w:rPr>
                <w:rFonts w:ascii="Arial" w:hAnsi="Arial" w:cs="Arial"/>
                <w:sz w:val="16"/>
                <w:szCs w:val="16"/>
              </w:rPr>
              <w:t xml:space="preserve"> porządkowej parametru wymaganego </w:t>
            </w:r>
            <w:r w:rsidRPr="00C363E1">
              <w:rPr>
                <w:rFonts w:ascii="Arial" w:hAnsi="Arial" w:cs="Arial"/>
                <w:sz w:val="16"/>
                <w:szCs w:val="16"/>
              </w:rPr>
              <w:br/>
              <w:t>z niniejszego formularza.</w:t>
            </w:r>
          </w:p>
          <w:p w:rsidR="00E62DF8" w:rsidRPr="00C363E1" w:rsidRDefault="00E62DF8" w:rsidP="009635FA">
            <w:pPr>
              <w:pStyle w:val="Default"/>
              <w:tabs>
                <w:tab w:val="num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62DF8" w:rsidRPr="00C363E1" w:rsidRDefault="00E62DF8" w:rsidP="009635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 przypadku zastosowania przez producenta innej nazwy parametru niż wymagany przez Zamawiającego, </w:t>
            </w:r>
            <w:r w:rsidRPr="00C363E1">
              <w:rPr>
                <w:rFonts w:ascii="Arial" w:hAnsi="Arial" w:cs="Arial"/>
                <w:b/>
                <w:sz w:val="16"/>
                <w:szCs w:val="16"/>
              </w:rPr>
              <w:t>Wykonawca winien udokumentować</w:t>
            </w:r>
            <w:r w:rsidRPr="00C363E1">
              <w:rPr>
                <w:rFonts w:ascii="Arial" w:hAnsi="Arial" w:cs="Arial"/>
                <w:sz w:val="16"/>
                <w:szCs w:val="16"/>
              </w:rPr>
              <w:t xml:space="preserve"> i wykazać tożsamość nazwy parametru producenta z nazwą parametru wymaganego przez Zamawiającego.</w:t>
            </w: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E62DF8" w:rsidP="00E62D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Kardiomonitory (system monitorowania pacjentów) – 6 szt.</w:t>
            </w: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umożliwia pracę w dwóch trybach: jako samodzielny monitor pacjenta i jako moduł pomiarowy podstawowych parametrów życiowych podłączany do kardiomonitora stacjonarnego, opisanego w Zadaniu nr 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wyposażony we wbudowany ekran o przekątnej przynajmniej 6,2” z funkcją automatycznego dostosowania wyświetlania do położenia monitora, tzw. „</w:t>
            </w:r>
            <w:proofErr w:type="spellStart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flip-screen</w:t>
            </w:r>
            <w:proofErr w:type="spellEnd"/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”, skokowo przynajmniej co 180 stopni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367265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Przekątna ekranu kardiomonitora transportowego ≥ 7”. Interfejs użytkownika tożsamy z monitorem stacjonarnym (takie samo umiejscowienie przycisków ekranowych, wygląd i nawigacja po menu, itp.). Obsługa gestów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umożliwia jednoczesną prezentację przynajmniej 3 krzywych dynamicznych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konfiguracji przynajmniej 5 widoków ekranu kardiomonitora transportowego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wyposażony we wbudowane zasilanie akumulatorowe na przynajmniej 4 godziny pracy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≥5 godzin pracy na zasilaniu akumulatorowym. Akumulator wymienny przez użytkownika bez użycia narzędzi. Wskaźnik poziomu naładowania monitora bezpośrednio na akumulatorze.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przystosowany do warunków transportowych, odporny na upadek z wysokości przynajmniej 1m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przystosowany do warunków transportowych, klasa odporności na zachlapanie wodą nie gorsza niż IPX4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Dodatkowa odporność przeciwko wnikaniu ciał stałych nie gorsza niż IP4X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przystosowany do warunków transportowych, posiada wbudowany uchwyt – rączkę umożliwiającą pełne objęcie dłonią, ułatwiającą przenoszenie, bez konieczności demontażu na czas zadokowania do monitora stacjonarnego.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mocowany w dedykowanej stacji dokującej niezależnej od obudowy monitora stacjonarnego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Masa kardiomonitora transportowego wraz z wbudowanym ekranem oraz akumulatorem poniżej 2kg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umożliwia monitorowanie w czasie transportu przynajmniej następujących parametrów (zgodnie z ich wymogami opisanymi w dalszej części specyfikacji): EKG, SpO2, NIBP, 2x Temp., 2x IBP z możliwością rozbudowy o min. 2 dodatkowe kanały IBP oraz pomiar CO2 w strumieniu bocznym. Dostępność parametrów zależna wyłącznie od podłączonych akcesoriów pomiarowych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367265" w:rsidP="0036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zapewnia nieprzerwane monitorowanie w/w parametrów, a także przenoszenie pomiędzy monitorami stacjonarnymi: danych demograficznych pacjenta, pamięci trendów i zdarzeń alarmowych, uzupełniając je na nowym stanowisku o dane pozyskane w trakcie transportu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>16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Moduły pomiarowe podłączane do monitora transportowego odporne na uderzenia, upadek oraz wnikanie cieczy i pyłów do wnętrza obudowy - klasa ochrony min. IP47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Alarmy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regulacji granic alarmowych przez użytkownika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czasowego wyciszania alarmów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Kardiomonitor transportowy wyposażony w pamięć przynajmniej 24 godzin trendów z rozdzielczością 1-minutową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23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DF8" w:rsidRPr="00C363E1" w:rsidRDefault="008D4D87" w:rsidP="008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wyświetlania trendów na ekranie modułu transportowego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2DF8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1199" w:type="dxa"/>
            <w:gridSpan w:val="4"/>
            <w:shd w:val="clear" w:color="auto" w:fill="FFFFFF"/>
            <w:vAlign w:val="center"/>
          </w:tcPr>
          <w:p w:rsidR="00E62DF8" w:rsidRPr="00C363E1" w:rsidRDefault="00E62DF8" w:rsidP="009635FA">
            <w:pPr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Warunki dodatkowe</w:t>
            </w:r>
          </w:p>
        </w:tc>
        <w:tc>
          <w:tcPr>
            <w:tcW w:w="1149" w:type="dxa"/>
          </w:tcPr>
          <w:p w:rsidR="00E62DF8" w:rsidRPr="00C363E1" w:rsidRDefault="00E62DF8" w:rsidP="009635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E62DF8" w:rsidRPr="00C363E1" w:rsidRDefault="00E62DF8" w:rsidP="0096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 / podać</w:t>
            </w: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 xml:space="preserve">Okres gwarancji na wszystkie elementy dostawy od momentu uruchomienia i protokolarnego odbioru całości zrealizowanego zamówienia </w:t>
            </w:r>
            <w:r w:rsidR="006B5109">
              <w:rPr>
                <w:rFonts w:ascii="Arial" w:hAnsi="Arial" w:cs="Arial"/>
                <w:sz w:val="16"/>
                <w:szCs w:val="16"/>
              </w:rPr>
              <w:t>(min. 24m-ce).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C363E1">
              <w:rPr>
                <w:rFonts w:ascii="Arial" w:hAnsi="Arial" w:cs="Arial"/>
                <w:b/>
                <w:sz w:val="16"/>
                <w:szCs w:val="16"/>
              </w:rPr>
              <w:t>Wymagane dokumenty:</w:t>
            </w:r>
          </w:p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 xml:space="preserve">• Deklaracja Zgodności , </w:t>
            </w:r>
          </w:p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• wpis lub zgłoszenie do Rejestru Wyrobów Medycznych</w:t>
            </w:r>
          </w:p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• certyfikat ISO 9001:2008 lub równoważny  potwierdzający zdolność do ciągłego dostarczania wyrobów zgodnie z wymaganiami</w:t>
            </w:r>
          </w:p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• certyfikat ISO 13485:2012   potwierdzający, że producent wdrożył i utrzymuje system zarządzania jakością dla wyrobów medycznych.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Możliwość zgłaszania usterek – należy podać sposób oraz dane teleadresowe.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</w:pPr>
            <w:r w:rsidRPr="00C363E1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Termin usunięcia usterki od momentu przyjęcia zgłoszenia nie dłuższy niż 5 dni roboczych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Na czas naprawy/innej usługi serwisowej elementu dostawy Wykonawca, w przypadku przekroczenia terminu przeznaczonego na naprawę, na żądanie Zamawiającego dostarczy do 3 dni roboczych zamiennie analogiczny element dostawy.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Wymiana uszkodzonego podzespołu na nowy podzespół po 3 naprawach gwarancyjnych.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Każdy czas trwania naprawy gwarancyjnej powoduje przedłużenie okresu gwarancji o czas trwania naprawy.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D4D87" w:rsidRPr="00C363E1" w:rsidTr="009635F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689" w:type="dxa"/>
            <w:shd w:val="clear" w:color="auto" w:fill="auto"/>
          </w:tcPr>
          <w:p w:rsidR="008D4D87" w:rsidRPr="00C363E1" w:rsidRDefault="008D4D87" w:rsidP="008D4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Okres zagwarantowania dostępności części zamiennych od daty sprzedaży w latach min. 7 lat.</w:t>
            </w:r>
          </w:p>
        </w:tc>
        <w:tc>
          <w:tcPr>
            <w:tcW w:w="1417" w:type="dxa"/>
            <w:shd w:val="clear" w:color="auto" w:fill="FFFFFF"/>
          </w:tcPr>
          <w:p w:rsidR="008D4D87" w:rsidRPr="00C363E1" w:rsidRDefault="008D4D87" w:rsidP="008D4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E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8D4D87" w:rsidRPr="00C363E1" w:rsidRDefault="008D4D87" w:rsidP="008D4D8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E62DF8" w:rsidRPr="00C363E1" w:rsidRDefault="00E62DF8" w:rsidP="00E62DF8">
      <w:pPr>
        <w:rPr>
          <w:rFonts w:ascii="Arial" w:hAnsi="Arial" w:cs="Arial"/>
          <w:b/>
          <w:sz w:val="16"/>
          <w:szCs w:val="16"/>
        </w:rPr>
      </w:pPr>
    </w:p>
    <w:p w:rsidR="00E62DF8" w:rsidRPr="00C363E1" w:rsidRDefault="00E62DF8" w:rsidP="00E62DF8">
      <w:pPr>
        <w:rPr>
          <w:rFonts w:ascii="Arial" w:hAnsi="Arial" w:cs="Arial"/>
          <w:sz w:val="16"/>
          <w:szCs w:val="16"/>
        </w:rPr>
      </w:pPr>
      <w:r w:rsidRPr="00C363E1">
        <w:rPr>
          <w:rFonts w:ascii="Arial" w:hAnsi="Arial" w:cs="Arial"/>
          <w:b/>
          <w:sz w:val="16"/>
          <w:szCs w:val="16"/>
        </w:rPr>
        <w:t>UWAGA :</w:t>
      </w:r>
      <w:r w:rsidRPr="00C363E1">
        <w:rPr>
          <w:rFonts w:ascii="Arial" w:hAnsi="Arial" w:cs="Arial"/>
          <w:b/>
          <w:sz w:val="16"/>
          <w:szCs w:val="16"/>
        </w:rPr>
        <w:tab/>
      </w:r>
    </w:p>
    <w:p w:rsidR="00E62DF8" w:rsidRPr="00C363E1" w:rsidRDefault="00E62DF8" w:rsidP="00E62DF8">
      <w:pPr>
        <w:spacing w:after="0"/>
        <w:ind w:left="-142"/>
        <w:jc w:val="both"/>
        <w:rPr>
          <w:rFonts w:ascii="Arial" w:hAnsi="Arial" w:cs="Arial"/>
          <w:sz w:val="16"/>
          <w:szCs w:val="16"/>
          <w:lang w:eastAsia="ar-SA"/>
        </w:rPr>
      </w:pPr>
      <w:r w:rsidRPr="00C363E1">
        <w:rPr>
          <w:rFonts w:ascii="Arial" w:hAnsi="Arial" w:cs="Arial"/>
          <w:b/>
          <w:sz w:val="16"/>
          <w:szCs w:val="16"/>
          <w:lang w:eastAsia="ar-SA"/>
        </w:rPr>
        <w:t>Nie spełnienie wymaganych parametrów i warunków spowoduje odrzucenie oferty.</w:t>
      </w:r>
    </w:p>
    <w:p w:rsidR="00E62DF8" w:rsidRPr="00C363E1" w:rsidRDefault="00E62DF8" w:rsidP="00991776">
      <w:pPr>
        <w:spacing w:after="0"/>
        <w:ind w:left="-142"/>
        <w:jc w:val="both"/>
        <w:rPr>
          <w:rFonts w:ascii="Arial" w:hAnsi="Arial" w:cs="Arial"/>
          <w:sz w:val="16"/>
          <w:szCs w:val="16"/>
          <w:lang w:eastAsia="ar-SA"/>
        </w:rPr>
      </w:pPr>
    </w:p>
    <w:p w:rsidR="00991776" w:rsidRPr="00C363E1" w:rsidRDefault="00991776" w:rsidP="00991776">
      <w:pPr>
        <w:spacing w:after="0"/>
        <w:ind w:left="-142"/>
        <w:jc w:val="both"/>
        <w:rPr>
          <w:rFonts w:ascii="Arial" w:hAnsi="Arial" w:cs="Arial"/>
          <w:sz w:val="16"/>
          <w:szCs w:val="16"/>
          <w:lang w:eastAsia="ar-SA"/>
        </w:rPr>
      </w:pPr>
    </w:p>
    <w:p w:rsidR="00863A97" w:rsidRPr="00C363E1" w:rsidRDefault="00863A97">
      <w:pPr>
        <w:rPr>
          <w:rFonts w:ascii="Arial" w:hAnsi="Arial" w:cs="Arial"/>
          <w:sz w:val="16"/>
          <w:szCs w:val="16"/>
        </w:rPr>
      </w:pPr>
    </w:p>
    <w:sectPr w:rsidR="00863A97" w:rsidRPr="00C363E1" w:rsidSect="000458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45197"/>
    <w:multiLevelType w:val="hybridMultilevel"/>
    <w:tmpl w:val="9C804862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0777"/>
    <w:multiLevelType w:val="hybridMultilevel"/>
    <w:tmpl w:val="5D641DC4"/>
    <w:name w:val="WW8Num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0"/>
    <w:rsid w:val="000458BA"/>
    <w:rsid w:val="0005260B"/>
    <w:rsid w:val="00062EA7"/>
    <w:rsid w:val="000705AB"/>
    <w:rsid w:val="00082557"/>
    <w:rsid w:val="00087B81"/>
    <w:rsid w:val="00093920"/>
    <w:rsid w:val="000D365B"/>
    <w:rsid w:val="0010511E"/>
    <w:rsid w:val="001E7EC9"/>
    <w:rsid w:val="0021054E"/>
    <w:rsid w:val="002A62BD"/>
    <w:rsid w:val="002B0DCD"/>
    <w:rsid w:val="00367265"/>
    <w:rsid w:val="003D6F20"/>
    <w:rsid w:val="00495710"/>
    <w:rsid w:val="00502A4F"/>
    <w:rsid w:val="00644417"/>
    <w:rsid w:val="006B5109"/>
    <w:rsid w:val="007C2F47"/>
    <w:rsid w:val="007F75F4"/>
    <w:rsid w:val="00835C41"/>
    <w:rsid w:val="008369B6"/>
    <w:rsid w:val="00844476"/>
    <w:rsid w:val="00863A97"/>
    <w:rsid w:val="00890774"/>
    <w:rsid w:val="00892695"/>
    <w:rsid w:val="008B280E"/>
    <w:rsid w:val="008D4D87"/>
    <w:rsid w:val="009501EF"/>
    <w:rsid w:val="009635FA"/>
    <w:rsid w:val="00991776"/>
    <w:rsid w:val="009C1255"/>
    <w:rsid w:val="00A2585B"/>
    <w:rsid w:val="00A342A9"/>
    <w:rsid w:val="00AE5CE5"/>
    <w:rsid w:val="00C027CD"/>
    <w:rsid w:val="00C14927"/>
    <w:rsid w:val="00C363E1"/>
    <w:rsid w:val="00C60007"/>
    <w:rsid w:val="00C81FA1"/>
    <w:rsid w:val="00E15E43"/>
    <w:rsid w:val="00E51F63"/>
    <w:rsid w:val="00E52FF8"/>
    <w:rsid w:val="00E62DF8"/>
    <w:rsid w:val="00EE12DE"/>
    <w:rsid w:val="00EF557E"/>
    <w:rsid w:val="00F4330A"/>
    <w:rsid w:val="00F54ED0"/>
    <w:rsid w:val="00F8083A"/>
    <w:rsid w:val="00FD4CFF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E067-50FB-485C-9B03-AD6E59B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F20"/>
    <w:pPr>
      <w:keepNext/>
      <w:numPr>
        <w:ilvl w:val="4"/>
        <w:numId w:val="1"/>
      </w:numPr>
      <w:suppressAutoHyphens/>
      <w:spacing w:after="200" w:line="276" w:lineRule="auto"/>
      <w:jc w:val="center"/>
      <w:outlineLvl w:val="4"/>
    </w:pPr>
    <w:rPr>
      <w:rFonts w:ascii="Calibri" w:eastAsia="Calibri" w:hAnsi="Calibri" w:cs="Times New Roman"/>
      <w:b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xnormalny1">
    <w:name w:val="docx_normalny1"/>
    <w:basedOn w:val="Normalny"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D6F20"/>
    <w:rPr>
      <w:rFonts w:ascii="Calibri" w:eastAsia="Calibri" w:hAnsi="Calibri" w:cs="Times New Roman"/>
      <w:b/>
      <w:sz w:val="28"/>
      <w:lang w:eastAsia="zh-CN"/>
    </w:rPr>
  </w:style>
  <w:style w:type="paragraph" w:styleId="Tekstpodstawowy">
    <w:name w:val="Body Text"/>
    <w:basedOn w:val="Normalny"/>
    <w:link w:val="TekstpodstawowyZnak"/>
    <w:rsid w:val="003D6F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3D6F20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Bezodstpw">
    <w:name w:val="No Spacing"/>
    <w:qFormat/>
    <w:rsid w:val="009917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2A6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4722</Words>
  <Characters>28335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Demczuk</cp:lastModifiedBy>
  <cp:revision>4</cp:revision>
  <cp:lastPrinted>2023-11-06T10:05:00Z</cp:lastPrinted>
  <dcterms:created xsi:type="dcterms:W3CDTF">2023-11-06T09:05:00Z</dcterms:created>
  <dcterms:modified xsi:type="dcterms:W3CDTF">2023-11-08T09:03:00Z</dcterms:modified>
</cp:coreProperties>
</file>