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744" w:rsidRDefault="00F21744" w:rsidP="00F21744">
      <w:pPr>
        <w:rPr>
          <w:rFonts w:ascii="Times New Roman" w:hAnsi="Times New Roman" w:cs="Times New Roman"/>
          <w:b/>
          <w:bCs/>
        </w:rPr>
      </w:pPr>
      <w:r>
        <w:rPr>
          <w:rFonts w:ascii="Times New Roman" w:hAnsi="Times New Roman" w:cs="Times New Roman"/>
          <w:b/>
          <w:bCs/>
        </w:rPr>
        <w:t>Załącznik Nr 2: 2.5</w:t>
      </w:r>
      <w:r w:rsidR="00934234">
        <w:rPr>
          <w:rFonts w:ascii="Times New Roman" w:hAnsi="Times New Roman" w:cs="Times New Roman"/>
          <w:b/>
          <w:bCs/>
        </w:rPr>
        <w:t>.</w:t>
      </w:r>
      <w:r>
        <w:rPr>
          <w:rFonts w:ascii="Times New Roman" w:hAnsi="Times New Roman" w:cs="Times New Roman"/>
          <w:b/>
          <w:bCs/>
        </w:rPr>
        <w:t xml:space="preserve"> – Szczegółowy opis przedmiotu zamówienia / Parametry techniczne </w:t>
      </w:r>
    </w:p>
    <w:p w:rsidR="00F21744" w:rsidRDefault="00F21744" w:rsidP="00F21744">
      <w:pPr>
        <w:jc w:val="center"/>
        <w:rPr>
          <w:rFonts w:ascii="Times New Roman" w:hAnsi="Times New Roman" w:cs="Times New Roman"/>
          <w:b/>
          <w:bCs/>
        </w:rPr>
      </w:pPr>
    </w:p>
    <w:p w:rsidR="00F21744" w:rsidRDefault="00F21744" w:rsidP="00F21744">
      <w:pPr>
        <w:jc w:val="center"/>
        <w:rPr>
          <w:rFonts w:ascii="Times New Roman" w:hAnsi="Times New Roman" w:cs="Times New Roman"/>
          <w:b/>
          <w:bCs/>
        </w:rPr>
      </w:pPr>
      <w:r>
        <w:rPr>
          <w:rFonts w:ascii="Times New Roman" w:hAnsi="Times New Roman" w:cs="Times New Roman"/>
          <w:b/>
          <w:bCs/>
        </w:rPr>
        <w:t xml:space="preserve"> </w:t>
      </w:r>
      <w:r w:rsidRPr="00501839">
        <w:rPr>
          <w:rFonts w:ascii="Times New Roman" w:hAnsi="Times New Roman" w:cs="Times New Roman"/>
          <w:b/>
          <w:bCs/>
        </w:rPr>
        <w:t xml:space="preserve">Część Nr: </w:t>
      </w:r>
      <w:r>
        <w:rPr>
          <w:rFonts w:ascii="Times New Roman" w:hAnsi="Times New Roman" w:cs="Times New Roman"/>
          <w:b/>
          <w:bCs/>
        </w:rPr>
        <w:t>5</w:t>
      </w:r>
    </w:p>
    <w:p w:rsidR="00F21744" w:rsidRDefault="00F21744" w:rsidP="00F21744">
      <w:pPr>
        <w:jc w:val="center"/>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color w:val="FF0000"/>
          <w:u w:val="single"/>
        </w:rPr>
        <w:t>Wykonawca składa wraz z ofertą</w:t>
      </w:r>
    </w:p>
    <w:p w:rsidR="00017C44" w:rsidRDefault="007E249D" w:rsidP="00017C44">
      <w:pPr>
        <w:pStyle w:val="Nagwek2"/>
        <w:rPr>
          <w:rFonts w:asciiTheme="minorHAnsi" w:hAnsiTheme="minorHAnsi" w:cstheme="minorHAnsi"/>
          <w:i w:val="0"/>
          <w:sz w:val="24"/>
          <w:szCs w:val="24"/>
        </w:rPr>
      </w:pPr>
      <w:r>
        <w:rPr>
          <w:rFonts w:asciiTheme="minorHAnsi" w:hAnsiTheme="minorHAnsi" w:cstheme="minorHAnsi"/>
          <w:i w:val="0"/>
          <w:sz w:val="24"/>
          <w:szCs w:val="24"/>
        </w:rPr>
        <w:t>Dysk twardy typ I – 1</w:t>
      </w:r>
      <w:r w:rsidR="00017C44">
        <w:rPr>
          <w:rFonts w:asciiTheme="minorHAnsi" w:hAnsiTheme="minorHAnsi" w:cstheme="minorHAnsi"/>
          <w:i w:val="0"/>
          <w:sz w:val="24"/>
          <w:szCs w:val="24"/>
        </w:rPr>
        <w:t xml:space="preserve"> szt. (CPV: 37453300-1 – Dyski)</w:t>
      </w:r>
    </w:p>
    <w:p w:rsidR="005A3BAF" w:rsidRDefault="005A3BAF" w:rsidP="00017C44">
      <w:pPr>
        <w:rPr>
          <w:rFonts w:asciiTheme="minorHAnsi" w:hAnsiTheme="minorHAnsi" w:cstheme="minorHAnsi"/>
          <w:i/>
          <w:sz w:val="24"/>
          <w:szCs w:val="24"/>
        </w:rPr>
      </w:pPr>
      <w:r>
        <w:rPr>
          <w:rFonts w:asciiTheme="minorHAnsi" w:hAnsiTheme="minorHAnsi" w:cstheme="minorHAnsi"/>
          <w:i/>
          <w:sz w:val="24"/>
          <w:szCs w:val="24"/>
        </w:rPr>
        <w:t>Oferuję: __________________________________________________________________</w:t>
      </w:r>
    </w:p>
    <w:p w:rsidR="005A3BAF" w:rsidRDefault="005A3BAF" w:rsidP="005A3BAF">
      <w:pPr>
        <w:jc w:val="center"/>
        <w:rPr>
          <w:rFonts w:asciiTheme="minorHAnsi" w:hAnsiTheme="minorHAnsi" w:cstheme="minorHAnsi"/>
          <w:i/>
          <w:sz w:val="24"/>
          <w:szCs w:val="24"/>
        </w:rPr>
      </w:pPr>
      <w:r>
        <w:rPr>
          <w:rFonts w:asciiTheme="minorHAnsi" w:hAnsiTheme="minorHAnsi" w:cstheme="minorHAnsi"/>
          <w:i/>
          <w:sz w:val="24"/>
          <w:szCs w:val="24"/>
        </w:rPr>
        <w:t xml:space="preserve">Nazwa, </w:t>
      </w:r>
      <w:r w:rsidR="00732602">
        <w:rPr>
          <w:rFonts w:asciiTheme="minorHAnsi" w:hAnsiTheme="minorHAnsi" w:cstheme="minorHAnsi"/>
          <w:i/>
          <w:sz w:val="24"/>
          <w:szCs w:val="24"/>
        </w:rPr>
        <w:t>symbol/</w:t>
      </w:r>
      <w:r>
        <w:rPr>
          <w:rFonts w:asciiTheme="minorHAnsi" w:hAnsiTheme="minorHAnsi" w:cstheme="minorHAnsi"/>
          <w:i/>
          <w:sz w:val="24"/>
          <w:szCs w:val="24"/>
        </w:rPr>
        <w:t>typ, model itp.</w:t>
      </w:r>
    </w:p>
    <w:p w:rsidR="00934234" w:rsidRDefault="00934234" w:rsidP="00934234">
      <w:pPr>
        <w:rPr>
          <w:rFonts w:asciiTheme="minorHAnsi" w:hAnsiTheme="minorHAnsi" w:cstheme="minorHAnsi"/>
          <w:i/>
          <w:sz w:val="24"/>
          <w:szCs w:val="24"/>
        </w:rPr>
      </w:pPr>
      <w:r>
        <w:rPr>
          <w:rFonts w:asciiTheme="minorHAnsi" w:hAnsiTheme="minorHAnsi" w:cstheme="minorHAnsi"/>
          <w:i/>
          <w:sz w:val="24"/>
          <w:szCs w:val="24"/>
        </w:rPr>
        <w:t>lub równoważny wg. wskazanych poniższych funkcji i cech produktu równoważnego:</w:t>
      </w:r>
    </w:p>
    <w:p w:rsidR="00934234" w:rsidRDefault="00934234" w:rsidP="005A3BAF">
      <w:pPr>
        <w:jc w:val="center"/>
        <w:rPr>
          <w:rFonts w:asciiTheme="minorHAnsi" w:hAnsiTheme="minorHAnsi" w:cstheme="minorHAnsi"/>
          <w:i/>
          <w:sz w:val="24"/>
          <w:szCs w:val="24"/>
        </w:rPr>
      </w:pPr>
    </w:p>
    <w:p w:rsidR="00536595" w:rsidRDefault="00536595" w:rsidP="00536595">
      <w:pPr>
        <w:rPr>
          <w:rFonts w:asciiTheme="minorHAnsi" w:hAnsiTheme="minorHAnsi" w:cstheme="minorHAnsi"/>
          <w:i/>
          <w:sz w:val="24"/>
          <w:szCs w:val="24"/>
        </w:rPr>
      </w:pPr>
      <w:r>
        <w:rPr>
          <w:rFonts w:asciiTheme="minorHAnsi" w:hAnsiTheme="minorHAnsi" w:cstheme="minorHAnsi"/>
          <w:i/>
          <w:sz w:val="24"/>
          <w:szCs w:val="24"/>
        </w:rPr>
        <w:t>Part num</w:t>
      </w:r>
      <w:r w:rsidR="00545642">
        <w:rPr>
          <w:rFonts w:asciiTheme="minorHAnsi" w:hAnsiTheme="minorHAnsi" w:cstheme="minorHAnsi"/>
          <w:i/>
          <w:sz w:val="24"/>
          <w:szCs w:val="24"/>
        </w:rPr>
        <w:t>b</w:t>
      </w:r>
      <w:bookmarkStart w:id="0" w:name="_GoBack"/>
      <w:bookmarkEnd w:id="0"/>
      <w:r>
        <w:rPr>
          <w:rFonts w:asciiTheme="minorHAnsi" w:hAnsiTheme="minorHAnsi" w:cstheme="minorHAnsi"/>
          <w:i/>
          <w:sz w:val="24"/>
          <w:szCs w:val="24"/>
        </w:rPr>
        <w:t>er</w:t>
      </w:r>
      <w:r w:rsidR="00934234">
        <w:rPr>
          <w:rFonts w:asciiTheme="minorHAnsi" w:hAnsiTheme="minorHAnsi" w:cstheme="minorHAnsi"/>
          <w:i/>
          <w:sz w:val="24"/>
          <w:szCs w:val="24"/>
        </w:rPr>
        <w:t>**</w:t>
      </w:r>
      <w:r>
        <w:rPr>
          <w:rFonts w:asciiTheme="minorHAnsi" w:hAnsiTheme="minorHAnsi" w:cstheme="minorHAnsi"/>
          <w:i/>
          <w:sz w:val="24"/>
          <w:szCs w:val="24"/>
        </w:rPr>
        <w:t>: _____________________________________________________</w:t>
      </w:r>
    </w:p>
    <w:p w:rsidR="00017C44" w:rsidRDefault="00017C44" w:rsidP="00017C44">
      <w:pPr>
        <w:jc w:val="both"/>
      </w:pPr>
    </w:p>
    <w:tbl>
      <w:tblPr>
        <w:tblW w:w="5921" w:type="pct"/>
        <w:tblInd w:w="-919" w:type="dxa"/>
        <w:tblCellMar>
          <w:left w:w="0" w:type="dxa"/>
          <w:right w:w="0" w:type="dxa"/>
        </w:tblCellMar>
        <w:tblLook w:val="04A0" w:firstRow="1" w:lastRow="0" w:firstColumn="1" w:lastColumn="0" w:noHBand="0" w:noVBand="1"/>
      </w:tblPr>
      <w:tblGrid>
        <w:gridCol w:w="550"/>
        <w:gridCol w:w="2202"/>
        <w:gridCol w:w="4395"/>
        <w:gridCol w:w="3572"/>
      </w:tblGrid>
      <w:tr w:rsidR="00017C44" w:rsidTr="00017C44">
        <w:trPr>
          <w:trHeight w:val="284"/>
        </w:trPr>
        <w:tc>
          <w:tcPr>
            <w:tcW w:w="257" w:type="pct"/>
            <w:tcBorders>
              <w:top w:val="single" w:sz="8" w:space="0" w:color="auto"/>
              <w:left w:val="single" w:sz="8" w:space="0" w:color="auto"/>
              <w:bottom w:val="single" w:sz="8" w:space="0" w:color="auto"/>
              <w:right w:val="single" w:sz="8" w:space="0" w:color="auto"/>
            </w:tcBorders>
            <w:tcMar>
              <w:top w:w="0" w:type="dxa"/>
              <w:left w:w="71" w:type="dxa"/>
              <w:bottom w:w="0" w:type="dxa"/>
              <w:right w:w="71" w:type="dxa"/>
            </w:tcMar>
            <w:vAlign w:val="center"/>
            <w:hideMark/>
          </w:tcPr>
          <w:p w:rsidR="00017C44" w:rsidRDefault="00017C44">
            <w:pPr>
              <w:pStyle w:val="Tabelapozycja"/>
              <w:spacing w:line="256" w:lineRule="auto"/>
              <w:jc w:val="both"/>
              <w:rPr>
                <w:b/>
                <w:bCs/>
                <w:sz w:val="20"/>
                <w:szCs w:val="20"/>
                <w:lang w:eastAsia="en-US"/>
              </w:rPr>
            </w:pPr>
            <w:r>
              <w:rPr>
                <w:b/>
                <w:bCs/>
                <w:sz w:val="20"/>
                <w:szCs w:val="20"/>
                <w:lang w:eastAsia="en-US"/>
              </w:rPr>
              <w:t>Lp.</w:t>
            </w:r>
          </w:p>
        </w:tc>
        <w:tc>
          <w:tcPr>
            <w:tcW w:w="1027" w:type="pct"/>
            <w:tcBorders>
              <w:top w:val="single" w:sz="8" w:space="0" w:color="auto"/>
              <w:left w:val="nil"/>
              <w:bottom w:val="single" w:sz="8" w:space="0" w:color="auto"/>
              <w:right w:val="single" w:sz="8" w:space="0" w:color="auto"/>
            </w:tcBorders>
            <w:tcMar>
              <w:top w:w="0" w:type="dxa"/>
              <w:left w:w="71" w:type="dxa"/>
              <w:bottom w:w="0" w:type="dxa"/>
              <w:right w:w="71" w:type="dxa"/>
            </w:tcMar>
            <w:vAlign w:val="center"/>
            <w:hideMark/>
          </w:tcPr>
          <w:p w:rsidR="00017C44" w:rsidRDefault="00017C44">
            <w:pPr>
              <w:spacing w:line="256" w:lineRule="auto"/>
              <w:jc w:val="both"/>
              <w:rPr>
                <w:rFonts w:ascii="Arial" w:hAnsi="Arial" w:cs="Arial"/>
                <w:b/>
                <w:bCs/>
                <w:sz w:val="20"/>
                <w:szCs w:val="20"/>
                <w:lang w:eastAsia="pl-PL"/>
              </w:rPr>
            </w:pPr>
            <w:r>
              <w:rPr>
                <w:rFonts w:ascii="Arial" w:hAnsi="Arial" w:cs="Arial"/>
                <w:b/>
                <w:bCs/>
                <w:sz w:val="20"/>
                <w:szCs w:val="20"/>
              </w:rPr>
              <w:t>Nazwa komponentu</w:t>
            </w:r>
          </w:p>
        </w:tc>
        <w:tc>
          <w:tcPr>
            <w:tcW w:w="2050" w:type="pct"/>
            <w:tcBorders>
              <w:top w:val="single" w:sz="8" w:space="0" w:color="auto"/>
              <w:left w:val="nil"/>
              <w:bottom w:val="single" w:sz="8" w:space="0" w:color="auto"/>
              <w:right w:val="single" w:sz="8" w:space="0" w:color="auto"/>
            </w:tcBorders>
            <w:tcMar>
              <w:top w:w="0" w:type="dxa"/>
              <w:left w:w="71" w:type="dxa"/>
              <w:bottom w:w="0" w:type="dxa"/>
              <w:right w:w="71" w:type="dxa"/>
            </w:tcMar>
            <w:vAlign w:val="center"/>
            <w:hideMark/>
          </w:tcPr>
          <w:p w:rsidR="00017C44" w:rsidRDefault="00017C44">
            <w:pPr>
              <w:spacing w:line="256" w:lineRule="auto"/>
              <w:ind w:left="-71"/>
              <w:jc w:val="both"/>
              <w:rPr>
                <w:rFonts w:ascii="Arial" w:hAnsi="Arial" w:cs="Arial"/>
                <w:b/>
                <w:bCs/>
                <w:sz w:val="20"/>
                <w:szCs w:val="20"/>
                <w:lang w:eastAsia="en-US"/>
              </w:rPr>
            </w:pPr>
            <w:r>
              <w:rPr>
                <w:rFonts w:ascii="Arial" w:hAnsi="Arial" w:cs="Arial"/>
                <w:b/>
                <w:bCs/>
                <w:sz w:val="20"/>
                <w:szCs w:val="20"/>
              </w:rPr>
              <w:t>Wymagane minimalne parametry techniczne</w:t>
            </w:r>
          </w:p>
        </w:tc>
        <w:tc>
          <w:tcPr>
            <w:tcW w:w="1666" w:type="pct"/>
            <w:tcBorders>
              <w:top w:val="single" w:sz="8" w:space="0" w:color="auto"/>
              <w:left w:val="nil"/>
              <w:bottom w:val="single" w:sz="8" w:space="0" w:color="auto"/>
              <w:right w:val="single" w:sz="8" w:space="0" w:color="auto"/>
            </w:tcBorders>
            <w:hideMark/>
          </w:tcPr>
          <w:p w:rsidR="00017C44" w:rsidRDefault="00017C44">
            <w:pPr>
              <w:spacing w:line="256" w:lineRule="auto"/>
              <w:jc w:val="both"/>
              <w:rPr>
                <w:rFonts w:ascii="Arial" w:hAnsi="Arial" w:cs="Arial"/>
                <w:b/>
                <w:bCs/>
                <w:sz w:val="20"/>
                <w:szCs w:val="20"/>
              </w:rPr>
            </w:pPr>
            <w:r>
              <w:rPr>
                <w:rFonts w:ascii="Arial" w:hAnsi="Arial" w:cs="Arial"/>
                <w:b/>
                <w:sz w:val="20"/>
                <w:szCs w:val="20"/>
              </w:rPr>
              <w:t>Parametry oferowanego komponentu</w:t>
            </w:r>
            <w:r w:rsidR="00934234">
              <w:rPr>
                <w:rFonts w:ascii="Arial" w:hAnsi="Arial" w:cs="Arial"/>
                <w:b/>
                <w:sz w:val="20"/>
                <w:szCs w:val="20"/>
              </w:rPr>
              <w:t>*</w:t>
            </w:r>
          </w:p>
        </w:tc>
      </w:tr>
      <w:tr w:rsidR="00017C44" w:rsidTr="00017C44">
        <w:trPr>
          <w:trHeight w:val="86"/>
        </w:trPr>
        <w:tc>
          <w:tcPr>
            <w:tcW w:w="257" w:type="pct"/>
            <w:tcBorders>
              <w:top w:val="nil"/>
              <w:left w:val="single" w:sz="8" w:space="0" w:color="auto"/>
              <w:bottom w:val="single" w:sz="8" w:space="0" w:color="auto"/>
              <w:right w:val="single" w:sz="8" w:space="0" w:color="auto"/>
            </w:tcBorders>
            <w:tcMar>
              <w:top w:w="0" w:type="dxa"/>
              <w:left w:w="71" w:type="dxa"/>
              <w:bottom w:w="0" w:type="dxa"/>
              <w:right w:w="71" w:type="dxa"/>
            </w:tcMar>
          </w:tcPr>
          <w:p w:rsidR="00017C44" w:rsidRDefault="00017C44" w:rsidP="00E0557D">
            <w:pPr>
              <w:numPr>
                <w:ilvl w:val="0"/>
                <w:numId w:val="1"/>
              </w:numPr>
              <w:spacing w:line="256" w:lineRule="auto"/>
              <w:jc w:val="both"/>
              <w:rPr>
                <w:rFonts w:ascii="Arial" w:hAnsi="Arial" w:cs="Arial"/>
                <w:sz w:val="20"/>
                <w:szCs w:val="20"/>
              </w:rPr>
            </w:pPr>
          </w:p>
        </w:tc>
        <w:tc>
          <w:tcPr>
            <w:tcW w:w="1027" w:type="pct"/>
            <w:tcBorders>
              <w:top w:val="nil"/>
              <w:left w:val="nil"/>
              <w:bottom w:val="single" w:sz="8" w:space="0" w:color="auto"/>
              <w:right w:val="single" w:sz="8" w:space="0" w:color="auto"/>
            </w:tcBorders>
            <w:tcMar>
              <w:top w:w="0" w:type="dxa"/>
              <w:left w:w="71" w:type="dxa"/>
              <w:bottom w:w="0" w:type="dxa"/>
              <w:right w:w="71" w:type="dxa"/>
            </w:tcMar>
            <w:hideMark/>
          </w:tcPr>
          <w:p w:rsidR="00017C44" w:rsidRDefault="00017C44">
            <w:pPr>
              <w:spacing w:line="256" w:lineRule="auto"/>
              <w:jc w:val="both"/>
              <w:rPr>
                <w:rFonts w:ascii="Arial" w:hAnsi="Arial" w:cs="Arial"/>
                <w:sz w:val="20"/>
                <w:szCs w:val="20"/>
              </w:rPr>
            </w:pPr>
            <w:r>
              <w:rPr>
                <w:rFonts w:ascii="Arial" w:hAnsi="Arial" w:cs="Arial"/>
                <w:sz w:val="20"/>
              </w:rPr>
              <w:t>Przeznaczenie dysku</w:t>
            </w:r>
          </w:p>
        </w:tc>
        <w:tc>
          <w:tcPr>
            <w:tcW w:w="2050" w:type="pct"/>
            <w:tcBorders>
              <w:top w:val="nil"/>
              <w:left w:val="nil"/>
              <w:bottom w:val="single" w:sz="8" w:space="0" w:color="auto"/>
              <w:right w:val="single" w:sz="8" w:space="0" w:color="auto"/>
            </w:tcBorders>
            <w:tcMar>
              <w:top w:w="0" w:type="dxa"/>
              <w:left w:w="71" w:type="dxa"/>
              <w:bottom w:w="0" w:type="dxa"/>
              <w:right w:w="71" w:type="dxa"/>
            </w:tcMar>
            <w:hideMark/>
          </w:tcPr>
          <w:p w:rsidR="00017C44" w:rsidRDefault="00017C44">
            <w:pPr>
              <w:spacing w:line="256" w:lineRule="auto"/>
              <w:jc w:val="both"/>
              <w:rPr>
                <w:rFonts w:ascii="Arial" w:hAnsi="Arial" w:cs="Arial"/>
                <w:sz w:val="20"/>
                <w:szCs w:val="20"/>
              </w:rPr>
            </w:pPr>
            <w:r>
              <w:rPr>
                <w:rFonts w:ascii="Arial" w:hAnsi="Arial" w:cs="Arial"/>
                <w:sz w:val="20"/>
                <w:szCs w:val="20"/>
              </w:rPr>
              <w:t>Dysk wewnętrzny NAS</w:t>
            </w:r>
          </w:p>
        </w:tc>
        <w:tc>
          <w:tcPr>
            <w:tcW w:w="1666" w:type="pct"/>
            <w:tcBorders>
              <w:top w:val="nil"/>
              <w:left w:val="nil"/>
              <w:bottom w:val="single" w:sz="8" w:space="0" w:color="auto"/>
              <w:right w:val="single" w:sz="8" w:space="0" w:color="auto"/>
            </w:tcBorders>
          </w:tcPr>
          <w:p w:rsidR="00017C44" w:rsidRDefault="00017C44">
            <w:pPr>
              <w:spacing w:line="256" w:lineRule="auto"/>
              <w:jc w:val="both"/>
              <w:rPr>
                <w:rFonts w:ascii="Arial" w:hAnsi="Arial" w:cs="Arial"/>
                <w:sz w:val="20"/>
                <w:szCs w:val="20"/>
              </w:rPr>
            </w:pPr>
          </w:p>
        </w:tc>
      </w:tr>
      <w:tr w:rsidR="00017C44" w:rsidTr="00017C44">
        <w:trPr>
          <w:trHeight w:val="60"/>
        </w:trPr>
        <w:tc>
          <w:tcPr>
            <w:tcW w:w="257" w:type="pct"/>
            <w:tcBorders>
              <w:top w:val="nil"/>
              <w:left w:val="single" w:sz="8" w:space="0" w:color="auto"/>
              <w:bottom w:val="single" w:sz="8" w:space="0" w:color="auto"/>
              <w:right w:val="single" w:sz="8" w:space="0" w:color="auto"/>
            </w:tcBorders>
            <w:tcMar>
              <w:top w:w="0" w:type="dxa"/>
              <w:left w:w="71" w:type="dxa"/>
              <w:bottom w:w="0" w:type="dxa"/>
              <w:right w:w="71" w:type="dxa"/>
            </w:tcMar>
          </w:tcPr>
          <w:p w:rsidR="00017C44" w:rsidRDefault="00017C44" w:rsidP="00E0557D">
            <w:pPr>
              <w:numPr>
                <w:ilvl w:val="0"/>
                <w:numId w:val="1"/>
              </w:numPr>
              <w:spacing w:line="256" w:lineRule="auto"/>
              <w:ind w:left="1077" w:hanging="1077"/>
              <w:jc w:val="both"/>
              <w:rPr>
                <w:rFonts w:ascii="Arial" w:hAnsi="Arial" w:cs="Arial"/>
                <w:sz w:val="20"/>
                <w:szCs w:val="20"/>
              </w:rPr>
            </w:pPr>
          </w:p>
        </w:tc>
        <w:tc>
          <w:tcPr>
            <w:tcW w:w="1027" w:type="pct"/>
            <w:tcBorders>
              <w:top w:val="nil"/>
              <w:left w:val="nil"/>
              <w:bottom w:val="single" w:sz="8" w:space="0" w:color="auto"/>
              <w:right w:val="single" w:sz="8" w:space="0" w:color="auto"/>
            </w:tcBorders>
            <w:tcMar>
              <w:top w:w="0" w:type="dxa"/>
              <w:left w:w="71" w:type="dxa"/>
              <w:bottom w:w="0" w:type="dxa"/>
              <w:right w:w="71" w:type="dxa"/>
            </w:tcMar>
            <w:hideMark/>
          </w:tcPr>
          <w:p w:rsidR="00017C44" w:rsidRDefault="00017C44">
            <w:pPr>
              <w:spacing w:line="256" w:lineRule="auto"/>
              <w:jc w:val="both"/>
              <w:rPr>
                <w:rFonts w:ascii="Arial" w:hAnsi="Arial" w:cs="Arial"/>
                <w:sz w:val="20"/>
                <w:szCs w:val="20"/>
              </w:rPr>
            </w:pPr>
            <w:r>
              <w:rPr>
                <w:rFonts w:ascii="Arial" w:hAnsi="Arial" w:cs="Arial"/>
                <w:sz w:val="20"/>
              </w:rPr>
              <w:t>Pojemność</w:t>
            </w:r>
          </w:p>
        </w:tc>
        <w:tc>
          <w:tcPr>
            <w:tcW w:w="2050" w:type="pct"/>
            <w:tcBorders>
              <w:top w:val="nil"/>
              <w:left w:val="nil"/>
              <w:bottom w:val="single" w:sz="8" w:space="0" w:color="auto"/>
              <w:right w:val="single" w:sz="8" w:space="0" w:color="auto"/>
            </w:tcBorders>
            <w:tcMar>
              <w:top w:w="0" w:type="dxa"/>
              <w:left w:w="71" w:type="dxa"/>
              <w:bottom w:w="0" w:type="dxa"/>
              <w:right w:w="71" w:type="dxa"/>
            </w:tcMar>
            <w:hideMark/>
          </w:tcPr>
          <w:p w:rsidR="00017C44" w:rsidRDefault="007E249D">
            <w:pPr>
              <w:spacing w:line="256" w:lineRule="auto"/>
              <w:jc w:val="both"/>
              <w:rPr>
                <w:rFonts w:ascii="Arial" w:hAnsi="Arial" w:cs="Arial"/>
                <w:sz w:val="20"/>
                <w:szCs w:val="20"/>
              </w:rPr>
            </w:pPr>
            <w:r>
              <w:rPr>
                <w:rFonts w:ascii="Arial" w:hAnsi="Arial" w:cs="Arial"/>
                <w:sz w:val="20"/>
                <w:szCs w:val="20"/>
              </w:rPr>
              <w:t>18</w:t>
            </w:r>
            <w:r w:rsidR="00017C44">
              <w:rPr>
                <w:rFonts w:ascii="Arial" w:hAnsi="Arial" w:cs="Arial"/>
                <w:sz w:val="20"/>
                <w:szCs w:val="20"/>
              </w:rPr>
              <w:t xml:space="preserve"> TB</w:t>
            </w:r>
          </w:p>
        </w:tc>
        <w:tc>
          <w:tcPr>
            <w:tcW w:w="1666" w:type="pct"/>
            <w:tcBorders>
              <w:top w:val="nil"/>
              <w:left w:val="nil"/>
              <w:bottom w:val="single" w:sz="8" w:space="0" w:color="auto"/>
              <w:right w:val="single" w:sz="8" w:space="0" w:color="auto"/>
            </w:tcBorders>
          </w:tcPr>
          <w:p w:rsidR="00017C44" w:rsidRDefault="00017C44">
            <w:pPr>
              <w:spacing w:line="256" w:lineRule="auto"/>
              <w:jc w:val="both"/>
              <w:rPr>
                <w:rFonts w:ascii="Arial" w:hAnsi="Arial" w:cs="Arial"/>
                <w:sz w:val="20"/>
                <w:szCs w:val="20"/>
              </w:rPr>
            </w:pPr>
          </w:p>
        </w:tc>
      </w:tr>
      <w:tr w:rsidR="00017C44" w:rsidTr="00017C44">
        <w:trPr>
          <w:trHeight w:val="284"/>
        </w:trPr>
        <w:tc>
          <w:tcPr>
            <w:tcW w:w="257" w:type="pct"/>
            <w:tcBorders>
              <w:top w:val="nil"/>
              <w:left w:val="single" w:sz="8" w:space="0" w:color="auto"/>
              <w:bottom w:val="single" w:sz="8" w:space="0" w:color="auto"/>
              <w:right w:val="single" w:sz="8" w:space="0" w:color="auto"/>
            </w:tcBorders>
            <w:tcMar>
              <w:top w:w="0" w:type="dxa"/>
              <w:left w:w="71" w:type="dxa"/>
              <w:bottom w:w="0" w:type="dxa"/>
              <w:right w:w="71" w:type="dxa"/>
            </w:tcMar>
          </w:tcPr>
          <w:p w:rsidR="00017C44" w:rsidRDefault="00017C44" w:rsidP="00E0557D">
            <w:pPr>
              <w:numPr>
                <w:ilvl w:val="0"/>
                <w:numId w:val="1"/>
              </w:numPr>
              <w:spacing w:line="256" w:lineRule="auto"/>
              <w:ind w:left="1077" w:hanging="1077"/>
              <w:jc w:val="both"/>
              <w:rPr>
                <w:rFonts w:ascii="Arial" w:hAnsi="Arial" w:cs="Arial"/>
                <w:sz w:val="20"/>
                <w:szCs w:val="20"/>
              </w:rPr>
            </w:pPr>
          </w:p>
        </w:tc>
        <w:tc>
          <w:tcPr>
            <w:tcW w:w="1027" w:type="pct"/>
            <w:tcBorders>
              <w:top w:val="nil"/>
              <w:left w:val="nil"/>
              <w:bottom w:val="single" w:sz="8" w:space="0" w:color="auto"/>
              <w:right w:val="single" w:sz="8" w:space="0" w:color="auto"/>
            </w:tcBorders>
            <w:tcMar>
              <w:top w:w="0" w:type="dxa"/>
              <w:left w:w="71" w:type="dxa"/>
              <w:bottom w:w="0" w:type="dxa"/>
              <w:right w:w="71" w:type="dxa"/>
            </w:tcMar>
            <w:hideMark/>
          </w:tcPr>
          <w:p w:rsidR="00017C44" w:rsidRDefault="00017C44">
            <w:pPr>
              <w:spacing w:line="256" w:lineRule="auto"/>
              <w:jc w:val="both"/>
              <w:rPr>
                <w:rFonts w:ascii="Arial" w:hAnsi="Arial" w:cs="Arial"/>
                <w:sz w:val="20"/>
              </w:rPr>
            </w:pPr>
            <w:r>
              <w:rPr>
                <w:rFonts w:ascii="Arial" w:hAnsi="Arial" w:cs="Arial"/>
                <w:sz w:val="20"/>
              </w:rPr>
              <w:t>Interfejs</w:t>
            </w:r>
          </w:p>
        </w:tc>
        <w:tc>
          <w:tcPr>
            <w:tcW w:w="2050" w:type="pct"/>
            <w:tcBorders>
              <w:top w:val="nil"/>
              <w:left w:val="nil"/>
              <w:bottom w:val="single" w:sz="8" w:space="0" w:color="auto"/>
              <w:right w:val="single" w:sz="8" w:space="0" w:color="auto"/>
            </w:tcBorders>
            <w:tcMar>
              <w:top w:w="0" w:type="dxa"/>
              <w:left w:w="71" w:type="dxa"/>
              <w:bottom w:w="0" w:type="dxa"/>
              <w:right w:w="71" w:type="dxa"/>
            </w:tcMar>
            <w:hideMark/>
          </w:tcPr>
          <w:p w:rsidR="00017C44" w:rsidRDefault="00017C44">
            <w:pPr>
              <w:spacing w:line="256" w:lineRule="auto"/>
              <w:jc w:val="both"/>
              <w:rPr>
                <w:rFonts w:ascii="Arial" w:hAnsi="Arial" w:cs="Arial"/>
                <w:sz w:val="20"/>
                <w:szCs w:val="20"/>
              </w:rPr>
            </w:pPr>
            <w:r>
              <w:rPr>
                <w:rFonts w:ascii="Arial" w:hAnsi="Arial" w:cs="Arial"/>
                <w:sz w:val="20"/>
                <w:szCs w:val="20"/>
              </w:rPr>
              <w:t xml:space="preserve">SATA III 6 </w:t>
            </w:r>
            <w:proofErr w:type="spellStart"/>
            <w:r>
              <w:rPr>
                <w:rFonts w:ascii="Arial" w:hAnsi="Arial" w:cs="Arial"/>
                <w:sz w:val="20"/>
                <w:szCs w:val="20"/>
              </w:rPr>
              <w:t>Gb</w:t>
            </w:r>
            <w:proofErr w:type="spellEnd"/>
            <w:r>
              <w:rPr>
                <w:rFonts w:ascii="Arial" w:hAnsi="Arial" w:cs="Arial"/>
                <w:sz w:val="20"/>
                <w:szCs w:val="20"/>
              </w:rPr>
              <w:t>/s</w:t>
            </w:r>
          </w:p>
        </w:tc>
        <w:tc>
          <w:tcPr>
            <w:tcW w:w="1666" w:type="pct"/>
            <w:tcBorders>
              <w:top w:val="nil"/>
              <w:left w:val="nil"/>
              <w:bottom w:val="single" w:sz="8" w:space="0" w:color="auto"/>
              <w:right w:val="single" w:sz="8" w:space="0" w:color="auto"/>
            </w:tcBorders>
          </w:tcPr>
          <w:p w:rsidR="00017C44" w:rsidRDefault="00017C44">
            <w:pPr>
              <w:spacing w:line="256" w:lineRule="auto"/>
              <w:jc w:val="both"/>
              <w:rPr>
                <w:rFonts w:ascii="Arial" w:hAnsi="Arial" w:cs="Arial"/>
                <w:sz w:val="20"/>
                <w:szCs w:val="20"/>
              </w:rPr>
            </w:pPr>
          </w:p>
        </w:tc>
      </w:tr>
      <w:tr w:rsidR="00017C44" w:rsidTr="00017C44">
        <w:trPr>
          <w:trHeight w:val="284"/>
        </w:trPr>
        <w:tc>
          <w:tcPr>
            <w:tcW w:w="257" w:type="pct"/>
            <w:tcBorders>
              <w:top w:val="nil"/>
              <w:left w:val="single" w:sz="8" w:space="0" w:color="auto"/>
              <w:bottom w:val="single" w:sz="8" w:space="0" w:color="auto"/>
              <w:right w:val="single" w:sz="8" w:space="0" w:color="auto"/>
            </w:tcBorders>
            <w:tcMar>
              <w:top w:w="0" w:type="dxa"/>
              <w:left w:w="71" w:type="dxa"/>
              <w:bottom w:w="0" w:type="dxa"/>
              <w:right w:w="71" w:type="dxa"/>
            </w:tcMar>
          </w:tcPr>
          <w:p w:rsidR="00017C44" w:rsidRDefault="00017C44" w:rsidP="00E0557D">
            <w:pPr>
              <w:numPr>
                <w:ilvl w:val="0"/>
                <w:numId w:val="1"/>
              </w:numPr>
              <w:spacing w:line="256" w:lineRule="auto"/>
              <w:ind w:left="1077" w:hanging="1077"/>
              <w:jc w:val="both"/>
              <w:rPr>
                <w:rFonts w:ascii="Arial" w:hAnsi="Arial" w:cs="Arial"/>
                <w:sz w:val="20"/>
                <w:szCs w:val="20"/>
              </w:rPr>
            </w:pPr>
          </w:p>
        </w:tc>
        <w:tc>
          <w:tcPr>
            <w:tcW w:w="1027" w:type="pct"/>
            <w:tcBorders>
              <w:top w:val="nil"/>
              <w:left w:val="nil"/>
              <w:bottom w:val="single" w:sz="8" w:space="0" w:color="auto"/>
              <w:right w:val="single" w:sz="8" w:space="0" w:color="auto"/>
            </w:tcBorders>
            <w:tcMar>
              <w:top w:w="0" w:type="dxa"/>
              <w:left w:w="71" w:type="dxa"/>
              <w:bottom w:w="0" w:type="dxa"/>
              <w:right w:w="71" w:type="dxa"/>
            </w:tcMar>
            <w:hideMark/>
          </w:tcPr>
          <w:p w:rsidR="00017C44" w:rsidRDefault="00017C44">
            <w:pPr>
              <w:spacing w:line="256" w:lineRule="auto"/>
              <w:jc w:val="both"/>
              <w:rPr>
                <w:rFonts w:ascii="Arial" w:hAnsi="Arial" w:cs="Arial"/>
                <w:sz w:val="20"/>
                <w:szCs w:val="20"/>
              </w:rPr>
            </w:pPr>
            <w:r>
              <w:rPr>
                <w:rFonts w:ascii="Arial" w:hAnsi="Arial" w:cs="Arial"/>
                <w:sz w:val="20"/>
              </w:rPr>
              <w:t>Format</w:t>
            </w:r>
          </w:p>
        </w:tc>
        <w:tc>
          <w:tcPr>
            <w:tcW w:w="2050" w:type="pct"/>
            <w:tcBorders>
              <w:top w:val="nil"/>
              <w:left w:val="nil"/>
              <w:bottom w:val="single" w:sz="8" w:space="0" w:color="auto"/>
              <w:right w:val="single" w:sz="8" w:space="0" w:color="auto"/>
            </w:tcBorders>
            <w:tcMar>
              <w:top w:w="0" w:type="dxa"/>
              <w:left w:w="71" w:type="dxa"/>
              <w:bottom w:w="0" w:type="dxa"/>
              <w:right w:w="71" w:type="dxa"/>
            </w:tcMar>
            <w:hideMark/>
          </w:tcPr>
          <w:p w:rsidR="00017C44" w:rsidRDefault="00017C44">
            <w:pPr>
              <w:spacing w:line="256" w:lineRule="auto"/>
              <w:jc w:val="both"/>
              <w:rPr>
                <w:rFonts w:ascii="Arial" w:hAnsi="Arial" w:cs="Arial"/>
                <w:sz w:val="20"/>
                <w:szCs w:val="20"/>
              </w:rPr>
            </w:pPr>
            <w:r>
              <w:rPr>
                <w:rFonts w:ascii="Arial" w:hAnsi="Arial" w:cs="Arial"/>
                <w:sz w:val="20"/>
                <w:szCs w:val="20"/>
              </w:rPr>
              <w:t>3,5”</w:t>
            </w:r>
          </w:p>
        </w:tc>
        <w:tc>
          <w:tcPr>
            <w:tcW w:w="1666" w:type="pct"/>
            <w:tcBorders>
              <w:top w:val="nil"/>
              <w:left w:val="nil"/>
              <w:bottom w:val="single" w:sz="8" w:space="0" w:color="auto"/>
              <w:right w:val="single" w:sz="8" w:space="0" w:color="auto"/>
            </w:tcBorders>
          </w:tcPr>
          <w:p w:rsidR="00017C44" w:rsidRDefault="00017C44">
            <w:pPr>
              <w:spacing w:line="256" w:lineRule="auto"/>
              <w:jc w:val="both"/>
              <w:rPr>
                <w:rFonts w:ascii="Arial" w:hAnsi="Arial" w:cs="Arial"/>
                <w:sz w:val="20"/>
                <w:szCs w:val="20"/>
              </w:rPr>
            </w:pPr>
          </w:p>
        </w:tc>
      </w:tr>
      <w:tr w:rsidR="00017C44" w:rsidTr="00017C44">
        <w:trPr>
          <w:trHeight w:val="284"/>
        </w:trPr>
        <w:tc>
          <w:tcPr>
            <w:tcW w:w="257" w:type="pct"/>
            <w:tcBorders>
              <w:top w:val="nil"/>
              <w:left w:val="single" w:sz="8" w:space="0" w:color="auto"/>
              <w:bottom w:val="single" w:sz="8" w:space="0" w:color="auto"/>
              <w:right w:val="single" w:sz="8" w:space="0" w:color="auto"/>
            </w:tcBorders>
            <w:tcMar>
              <w:top w:w="0" w:type="dxa"/>
              <w:left w:w="71" w:type="dxa"/>
              <w:bottom w:w="0" w:type="dxa"/>
              <w:right w:w="71" w:type="dxa"/>
            </w:tcMar>
          </w:tcPr>
          <w:p w:rsidR="00017C44" w:rsidRDefault="00017C44" w:rsidP="00E0557D">
            <w:pPr>
              <w:numPr>
                <w:ilvl w:val="0"/>
                <w:numId w:val="1"/>
              </w:numPr>
              <w:spacing w:line="256" w:lineRule="auto"/>
              <w:ind w:left="1077" w:hanging="1077"/>
              <w:jc w:val="both"/>
              <w:rPr>
                <w:rFonts w:ascii="Arial" w:hAnsi="Arial" w:cs="Arial"/>
                <w:sz w:val="20"/>
                <w:szCs w:val="20"/>
                <w:lang w:eastAsia="pl-PL"/>
              </w:rPr>
            </w:pPr>
          </w:p>
        </w:tc>
        <w:tc>
          <w:tcPr>
            <w:tcW w:w="1027" w:type="pct"/>
            <w:tcBorders>
              <w:top w:val="nil"/>
              <w:left w:val="nil"/>
              <w:bottom w:val="single" w:sz="8" w:space="0" w:color="auto"/>
              <w:right w:val="single" w:sz="8" w:space="0" w:color="auto"/>
            </w:tcBorders>
            <w:tcMar>
              <w:top w:w="0" w:type="dxa"/>
              <w:left w:w="71" w:type="dxa"/>
              <w:bottom w:w="0" w:type="dxa"/>
              <w:right w:w="71" w:type="dxa"/>
            </w:tcMar>
            <w:hideMark/>
          </w:tcPr>
          <w:p w:rsidR="00017C44" w:rsidRDefault="00017C44">
            <w:pPr>
              <w:spacing w:line="256" w:lineRule="auto"/>
              <w:jc w:val="both"/>
              <w:rPr>
                <w:rFonts w:ascii="Arial" w:hAnsi="Arial" w:cs="Arial"/>
                <w:sz w:val="20"/>
                <w:szCs w:val="20"/>
                <w:lang w:eastAsia="en-US"/>
              </w:rPr>
            </w:pPr>
            <w:r>
              <w:rPr>
                <w:rFonts w:ascii="Arial" w:hAnsi="Arial" w:cs="Arial"/>
                <w:sz w:val="20"/>
              </w:rPr>
              <w:t>Prędkości</w:t>
            </w:r>
          </w:p>
        </w:tc>
        <w:tc>
          <w:tcPr>
            <w:tcW w:w="2050" w:type="pct"/>
            <w:tcBorders>
              <w:top w:val="nil"/>
              <w:left w:val="nil"/>
              <w:bottom w:val="single" w:sz="8" w:space="0" w:color="auto"/>
              <w:right w:val="single" w:sz="8" w:space="0" w:color="auto"/>
            </w:tcBorders>
            <w:tcMar>
              <w:top w:w="0" w:type="dxa"/>
              <w:left w:w="71" w:type="dxa"/>
              <w:bottom w:w="0" w:type="dxa"/>
              <w:right w:w="71" w:type="dxa"/>
            </w:tcMar>
            <w:hideMark/>
          </w:tcPr>
          <w:p w:rsidR="00017C44" w:rsidRDefault="00017C44">
            <w:pPr>
              <w:spacing w:line="256" w:lineRule="auto"/>
              <w:jc w:val="both"/>
              <w:rPr>
                <w:rFonts w:ascii="Arial" w:hAnsi="Arial" w:cs="Arial"/>
                <w:sz w:val="20"/>
                <w:szCs w:val="20"/>
              </w:rPr>
            </w:pPr>
            <w:r>
              <w:rPr>
                <w:rFonts w:ascii="Arial" w:hAnsi="Arial" w:cs="Arial"/>
                <w:sz w:val="20"/>
                <w:szCs w:val="20"/>
              </w:rPr>
              <w:t>7200 RPM</w:t>
            </w:r>
          </w:p>
        </w:tc>
        <w:tc>
          <w:tcPr>
            <w:tcW w:w="1666" w:type="pct"/>
            <w:tcBorders>
              <w:top w:val="nil"/>
              <w:left w:val="nil"/>
              <w:bottom w:val="single" w:sz="8" w:space="0" w:color="auto"/>
              <w:right w:val="single" w:sz="8" w:space="0" w:color="auto"/>
            </w:tcBorders>
          </w:tcPr>
          <w:p w:rsidR="00017C44" w:rsidRDefault="00017C44">
            <w:pPr>
              <w:spacing w:line="256" w:lineRule="auto"/>
              <w:jc w:val="both"/>
              <w:rPr>
                <w:rFonts w:ascii="Arial" w:hAnsi="Arial" w:cs="Arial"/>
                <w:sz w:val="20"/>
                <w:szCs w:val="20"/>
              </w:rPr>
            </w:pPr>
          </w:p>
        </w:tc>
      </w:tr>
      <w:tr w:rsidR="00017C44" w:rsidTr="00017C44">
        <w:trPr>
          <w:trHeight w:val="284"/>
        </w:trPr>
        <w:tc>
          <w:tcPr>
            <w:tcW w:w="257" w:type="pct"/>
            <w:tcBorders>
              <w:top w:val="nil"/>
              <w:left w:val="single" w:sz="8" w:space="0" w:color="auto"/>
              <w:bottom w:val="single" w:sz="8" w:space="0" w:color="auto"/>
              <w:right w:val="single" w:sz="8" w:space="0" w:color="auto"/>
            </w:tcBorders>
            <w:tcMar>
              <w:top w:w="0" w:type="dxa"/>
              <w:left w:w="71" w:type="dxa"/>
              <w:bottom w:w="0" w:type="dxa"/>
              <w:right w:w="71" w:type="dxa"/>
            </w:tcMar>
          </w:tcPr>
          <w:p w:rsidR="00017C44" w:rsidRDefault="00017C44" w:rsidP="00E0557D">
            <w:pPr>
              <w:numPr>
                <w:ilvl w:val="0"/>
                <w:numId w:val="1"/>
              </w:numPr>
              <w:spacing w:line="256" w:lineRule="auto"/>
              <w:ind w:left="1077" w:hanging="1077"/>
              <w:jc w:val="both"/>
              <w:rPr>
                <w:rFonts w:ascii="Arial" w:hAnsi="Arial" w:cs="Arial"/>
                <w:sz w:val="20"/>
                <w:szCs w:val="20"/>
                <w:lang w:val="sv-SE" w:eastAsia="pl-PL"/>
              </w:rPr>
            </w:pPr>
          </w:p>
        </w:tc>
        <w:tc>
          <w:tcPr>
            <w:tcW w:w="1027" w:type="pct"/>
            <w:tcBorders>
              <w:top w:val="nil"/>
              <w:left w:val="nil"/>
              <w:bottom w:val="single" w:sz="8" w:space="0" w:color="auto"/>
              <w:right w:val="single" w:sz="8" w:space="0" w:color="auto"/>
            </w:tcBorders>
            <w:tcMar>
              <w:top w:w="0" w:type="dxa"/>
              <w:left w:w="71" w:type="dxa"/>
              <w:bottom w:w="0" w:type="dxa"/>
              <w:right w:w="71" w:type="dxa"/>
            </w:tcMar>
            <w:hideMark/>
          </w:tcPr>
          <w:p w:rsidR="00017C44" w:rsidRDefault="00017C44">
            <w:pPr>
              <w:spacing w:line="256" w:lineRule="auto"/>
              <w:jc w:val="both"/>
              <w:rPr>
                <w:rFonts w:ascii="Arial" w:hAnsi="Arial" w:cs="Arial"/>
                <w:sz w:val="20"/>
                <w:szCs w:val="20"/>
                <w:lang w:eastAsia="en-US"/>
              </w:rPr>
            </w:pPr>
            <w:r>
              <w:rPr>
                <w:rFonts w:ascii="Arial" w:hAnsi="Arial" w:cs="Arial"/>
                <w:sz w:val="20"/>
              </w:rPr>
              <w:t>Bufor</w:t>
            </w:r>
          </w:p>
        </w:tc>
        <w:tc>
          <w:tcPr>
            <w:tcW w:w="2050" w:type="pct"/>
            <w:tcBorders>
              <w:top w:val="nil"/>
              <w:left w:val="nil"/>
              <w:bottom w:val="single" w:sz="8" w:space="0" w:color="auto"/>
              <w:right w:val="single" w:sz="8" w:space="0" w:color="auto"/>
            </w:tcBorders>
            <w:tcMar>
              <w:top w:w="0" w:type="dxa"/>
              <w:left w:w="71" w:type="dxa"/>
              <w:bottom w:w="0" w:type="dxa"/>
              <w:right w:w="71" w:type="dxa"/>
            </w:tcMar>
            <w:hideMark/>
          </w:tcPr>
          <w:p w:rsidR="00017C44" w:rsidRDefault="00017C44">
            <w:pPr>
              <w:spacing w:line="256" w:lineRule="auto"/>
              <w:rPr>
                <w:rFonts w:ascii="Arial" w:hAnsi="Arial" w:cs="Arial"/>
                <w:sz w:val="20"/>
                <w:szCs w:val="20"/>
              </w:rPr>
            </w:pPr>
            <w:r>
              <w:rPr>
                <w:rFonts w:ascii="Arial" w:hAnsi="Arial" w:cs="Arial"/>
                <w:sz w:val="20"/>
                <w:szCs w:val="20"/>
              </w:rPr>
              <w:t>256 MB</w:t>
            </w:r>
          </w:p>
        </w:tc>
        <w:tc>
          <w:tcPr>
            <w:tcW w:w="1666" w:type="pct"/>
            <w:tcBorders>
              <w:top w:val="nil"/>
              <w:left w:val="nil"/>
              <w:bottom w:val="single" w:sz="8" w:space="0" w:color="auto"/>
              <w:right w:val="single" w:sz="8" w:space="0" w:color="auto"/>
            </w:tcBorders>
          </w:tcPr>
          <w:p w:rsidR="00017C44" w:rsidRDefault="00017C44">
            <w:pPr>
              <w:spacing w:line="256" w:lineRule="auto"/>
              <w:rPr>
                <w:rFonts w:ascii="Arial" w:hAnsi="Arial" w:cs="Arial"/>
                <w:sz w:val="20"/>
                <w:szCs w:val="20"/>
              </w:rPr>
            </w:pPr>
          </w:p>
        </w:tc>
      </w:tr>
      <w:tr w:rsidR="00017C44" w:rsidTr="00017C44">
        <w:trPr>
          <w:trHeight w:val="284"/>
        </w:trPr>
        <w:tc>
          <w:tcPr>
            <w:tcW w:w="257" w:type="pct"/>
            <w:tcBorders>
              <w:top w:val="nil"/>
              <w:left w:val="single" w:sz="8" w:space="0" w:color="auto"/>
              <w:bottom w:val="single" w:sz="4" w:space="0" w:color="auto"/>
              <w:right w:val="single" w:sz="8" w:space="0" w:color="auto"/>
            </w:tcBorders>
            <w:tcMar>
              <w:top w:w="0" w:type="dxa"/>
              <w:left w:w="71" w:type="dxa"/>
              <w:bottom w:w="0" w:type="dxa"/>
              <w:right w:w="71" w:type="dxa"/>
            </w:tcMar>
          </w:tcPr>
          <w:p w:rsidR="00017C44" w:rsidRDefault="00017C44" w:rsidP="00E0557D">
            <w:pPr>
              <w:numPr>
                <w:ilvl w:val="0"/>
                <w:numId w:val="1"/>
              </w:numPr>
              <w:spacing w:line="256" w:lineRule="auto"/>
              <w:ind w:left="1077" w:hanging="1077"/>
              <w:jc w:val="both"/>
              <w:rPr>
                <w:rFonts w:ascii="Arial" w:hAnsi="Arial" w:cs="Arial"/>
                <w:sz w:val="20"/>
                <w:szCs w:val="20"/>
                <w:lang w:eastAsia="pl-PL"/>
              </w:rPr>
            </w:pPr>
          </w:p>
        </w:tc>
        <w:tc>
          <w:tcPr>
            <w:tcW w:w="1027" w:type="pct"/>
            <w:tcBorders>
              <w:top w:val="nil"/>
              <w:left w:val="nil"/>
              <w:bottom w:val="single" w:sz="4" w:space="0" w:color="auto"/>
              <w:right w:val="single" w:sz="8" w:space="0" w:color="auto"/>
            </w:tcBorders>
            <w:tcMar>
              <w:top w:w="0" w:type="dxa"/>
              <w:left w:w="71" w:type="dxa"/>
              <w:bottom w:w="0" w:type="dxa"/>
              <w:right w:w="71" w:type="dxa"/>
            </w:tcMar>
            <w:hideMark/>
          </w:tcPr>
          <w:p w:rsidR="00017C44" w:rsidRDefault="00017C44">
            <w:pPr>
              <w:spacing w:line="256" w:lineRule="auto"/>
              <w:jc w:val="both"/>
              <w:rPr>
                <w:rFonts w:ascii="Arial" w:hAnsi="Arial" w:cs="Arial"/>
                <w:sz w:val="20"/>
                <w:szCs w:val="20"/>
                <w:lang w:eastAsia="en-US"/>
              </w:rPr>
            </w:pPr>
            <w:r>
              <w:rPr>
                <w:rFonts w:ascii="Arial" w:hAnsi="Arial" w:cs="Arial"/>
                <w:sz w:val="20"/>
              </w:rPr>
              <w:t>MTBF</w:t>
            </w:r>
          </w:p>
        </w:tc>
        <w:tc>
          <w:tcPr>
            <w:tcW w:w="2050" w:type="pct"/>
            <w:tcBorders>
              <w:top w:val="nil"/>
              <w:left w:val="nil"/>
              <w:bottom w:val="single" w:sz="4" w:space="0" w:color="auto"/>
              <w:right w:val="single" w:sz="8" w:space="0" w:color="auto"/>
            </w:tcBorders>
            <w:tcMar>
              <w:top w:w="0" w:type="dxa"/>
              <w:left w:w="71" w:type="dxa"/>
              <w:bottom w:w="0" w:type="dxa"/>
              <w:right w:w="71" w:type="dxa"/>
            </w:tcMar>
            <w:hideMark/>
          </w:tcPr>
          <w:p w:rsidR="00017C44" w:rsidRDefault="00017C44">
            <w:pPr>
              <w:spacing w:line="256" w:lineRule="auto"/>
              <w:rPr>
                <w:rFonts w:ascii="Arial" w:hAnsi="Arial" w:cs="Arial"/>
                <w:sz w:val="20"/>
                <w:szCs w:val="20"/>
              </w:rPr>
            </w:pPr>
            <w:r>
              <w:rPr>
                <w:rFonts w:ascii="Arial" w:hAnsi="Arial" w:cs="Arial"/>
                <w:sz w:val="20"/>
                <w:szCs w:val="20"/>
              </w:rPr>
              <w:t>1 200 000 h</w:t>
            </w:r>
          </w:p>
        </w:tc>
        <w:tc>
          <w:tcPr>
            <w:tcW w:w="1666" w:type="pct"/>
            <w:tcBorders>
              <w:top w:val="nil"/>
              <w:left w:val="nil"/>
              <w:bottom w:val="single" w:sz="4" w:space="0" w:color="auto"/>
              <w:right w:val="single" w:sz="8" w:space="0" w:color="auto"/>
            </w:tcBorders>
          </w:tcPr>
          <w:p w:rsidR="00017C44" w:rsidRDefault="00017C44">
            <w:pPr>
              <w:spacing w:line="256" w:lineRule="auto"/>
              <w:rPr>
                <w:rFonts w:ascii="Arial" w:hAnsi="Arial" w:cs="Arial"/>
                <w:sz w:val="20"/>
                <w:szCs w:val="20"/>
              </w:rPr>
            </w:pPr>
          </w:p>
        </w:tc>
      </w:tr>
    </w:tbl>
    <w:p w:rsidR="00934234" w:rsidRDefault="00934234" w:rsidP="00934234">
      <w:pPr>
        <w:jc w:val="both"/>
        <w:rPr>
          <w:rFonts w:ascii="Times New Roman" w:hAnsi="Times New Roman" w:cs="Times New Roman"/>
          <w:b/>
        </w:rPr>
      </w:pPr>
      <w:r>
        <w:rPr>
          <w:b/>
          <w:highlight w:val="yellow"/>
        </w:rPr>
        <w:t>*</w:t>
      </w:r>
      <w:r>
        <w:rPr>
          <w:rFonts w:ascii="Times New Roman" w:hAnsi="Times New Roman" w:cs="Times New Roman"/>
          <w:b/>
          <w:highlight w:val="yellow"/>
        </w:rPr>
        <w:t>uzupełnia Wykonawca</w:t>
      </w:r>
      <w:r>
        <w:rPr>
          <w:rFonts w:ascii="Times New Roman" w:hAnsi="Times New Roman" w:cs="Times New Roman"/>
          <w:b/>
        </w:rPr>
        <w:t xml:space="preserve"> </w:t>
      </w:r>
    </w:p>
    <w:p w:rsidR="00934234" w:rsidRPr="009905E8" w:rsidRDefault="00934234" w:rsidP="00934234">
      <w:pPr>
        <w:spacing w:after="160" w:line="259" w:lineRule="auto"/>
        <w:rPr>
          <w:rFonts w:ascii="Times New Roman" w:hAnsi="Times New Roman" w:cs="Times New Roman"/>
          <w:b/>
          <w:highlight w:val="yellow"/>
        </w:rPr>
      </w:pPr>
      <w:r>
        <w:rPr>
          <w:rFonts w:ascii="Times New Roman" w:hAnsi="Times New Roman" w:cs="Times New Roman"/>
          <w:b/>
          <w:highlight w:val="yellow"/>
        </w:rPr>
        <w:t>** podaje Wykonawca</w:t>
      </w:r>
    </w:p>
    <w:p w:rsidR="00934234" w:rsidRDefault="00934234" w:rsidP="00934234">
      <w:pPr>
        <w:spacing w:line="20" w:lineRule="atLeast"/>
        <w:ind w:left="-426"/>
        <w:rPr>
          <w:rFonts w:ascii="Times New Roman" w:hAnsi="Times New Roman" w:cs="Times New Roman"/>
          <w:b/>
          <w:color w:val="FF0000"/>
          <w:highlight w:val="yellow"/>
          <w:u w:val="single"/>
        </w:rPr>
      </w:pPr>
    </w:p>
    <w:p w:rsidR="00934234" w:rsidRDefault="00934234" w:rsidP="00934234">
      <w:pPr>
        <w:spacing w:line="20" w:lineRule="atLeast"/>
        <w:ind w:left="-426"/>
        <w:rPr>
          <w:rFonts w:ascii="Times New Roman" w:hAnsi="Times New Roman" w:cs="Times New Roman"/>
          <w:b/>
          <w:color w:val="FF0000"/>
          <w:highlight w:val="yellow"/>
          <w:u w:val="single"/>
        </w:rPr>
      </w:pPr>
    </w:p>
    <w:p w:rsidR="00934234" w:rsidRDefault="00934234" w:rsidP="00934234">
      <w:pPr>
        <w:spacing w:line="20" w:lineRule="atLeast"/>
        <w:ind w:left="-426"/>
        <w:rPr>
          <w:rFonts w:ascii="Times New Roman" w:hAnsi="Times New Roman" w:cs="Times New Roman"/>
          <w:b/>
          <w:color w:val="FF0000"/>
          <w:highlight w:val="yellow"/>
          <w:u w:val="single"/>
        </w:rPr>
      </w:pPr>
      <w:r>
        <w:rPr>
          <w:rFonts w:ascii="Times New Roman" w:hAnsi="Times New Roman" w:cs="Times New Roman"/>
          <w:b/>
          <w:color w:val="FF0000"/>
          <w:highlight w:val="yellow"/>
          <w:u w:val="single"/>
        </w:rPr>
        <w:t xml:space="preserve">Wykonawca składa przedmiotowy załącznik wraz z ofertą. </w:t>
      </w:r>
    </w:p>
    <w:p w:rsidR="00934234" w:rsidRDefault="00934234" w:rsidP="00934234">
      <w:pPr>
        <w:spacing w:line="20" w:lineRule="atLeast"/>
        <w:ind w:left="-426"/>
        <w:rPr>
          <w:rFonts w:ascii="Times New Roman" w:hAnsi="Times New Roman" w:cs="Times New Roman"/>
          <w:b/>
          <w:color w:val="FF0000"/>
          <w:highlight w:val="yellow"/>
          <w:u w:val="single"/>
        </w:rPr>
      </w:pPr>
    </w:p>
    <w:p w:rsidR="00934234" w:rsidRDefault="00934234" w:rsidP="00934234">
      <w:pPr>
        <w:spacing w:line="20" w:lineRule="atLeast"/>
        <w:ind w:left="-426"/>
        <w:rPr>
          <w:rFonts w:ascii="Times New Roman" w:hAnsi="Times New Roman" w:cs="Times New Roman"/>
          <w:b/>
          <w:color w:val="FF0000"/>
          <w:u w:val="single"/>
        </w:rPr>
      </w:pPr>
      <w:r>
        <w:rPr>
          <w:rFonts w:ascii="Times New Roman" w:hAnsi="Times New Roman" w:cs="Times New Roman"/>
          <w:b/>
          <w:color w:val="FF0000"/>
          <w:u w:val="single"/>
        </w:rPr>
        <w:t xml:space="preserve">Brak złożenia przedmiotowego Załącznika skutkuje odrzuceniem oferty z postępowania. </w:t>
      </w:r>
    </w:p>
    <w:p w:rsidR="00934234" w:rsidRDefault="00934234" w:rsidP="00934234">
      <w:pPr>
        <w:spacing w:line="20" w:lineRule="atLeast"/>
        <w:rPr>
          <w:rFonts w:ascii="Times New Roman" w:hAnsi="Times New Roman" w:cs="Times New Roman"/>
          <w:b/>
          <w:color w:val="FF0000"/>
          <w:u w:val="single"/>
        </w:rPr>
      </w:pPr>
    </w:p>
    <w:p w:rsidR="00934234" w:rsidRDefault="00934234" w:rsidP="00934234">
      <w:pPr>
        <w:pStyle w:val="Akapitzlist"/>
        <w:numPr>
          <w:ilvl w:val="1"/>
          <w:numId w:val="2"/>
        </w:numPr>
        <w:autoSpaceDE w:val="0"/>
        <w:autoSpaceDN w:val="0"/>
        <w:adjustRightInd w:val="0"/>
        <w:spacing w:line="276" w:lineRule="auto"/>
        <w:ind w:left="426" w:right="210" w:hanging="426"/>
        <w:jc w:val="both"/>
        <w:rPr>
          <w:rFonts w:ascii="Times New Roman" w:eastAsia="Times New Roman" w:hAnsi="Times New Roman" w:cs="Times New Roman"/>
          <w:b/>
        </w:rPr>
      </w:pPr>
      <w:r>
        <w:rPr>
          <w:rFonts w:ascii="Times New Roman" w:hAnsi="Times New Roman" w:cs="Times New Roman"/>
          <w:u w:val="single"/>
        </w:rPr>
        <w:t>UWAGA:</w:t>
      </w:r>
      <w:r>
        <w:rPr>
          <w:rFonts w:ascii="Times New Roman" w:hAnsi="Times New Roman" w:cs="Times New Roman"/>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Pr>
          <w:rFonts w:ascii="Times New Roman" w:hAnsi="Times New Roman" w:cs="Times New Roman"/>
          <w:b/>
        </w:rPr>
        <w:t>dla danej pozycji.</w:t>
      </w:r>
    </w:p>
    <w:p w:rsidR="00934234" w:rsidRDefault="00934234" w:rsidP="00934234">
      <w:pPr>
        <w:pStyle w:val="Akapitzlist"/>
        <w:numPr>
          <w:ilvl w:val="1"/>
          <w:numId w:val="2"/>
        </w:numPr>
        <w:autoSpaceDE w:val="0"/>
        <w:autoSpaceDN w:val="0"/>
        <w:adjustRightInd w:val="0"/>
        <w:spacing w:line="276" w:lineRule="auto"/>
        <w:ind w:left="426" w:right="210" w:hanging="426"/>
        <w:jc w:val="both"/>
        <w:rPr>
          <w:rFonts w:ascii="Times New Roman" w:eastAsia="Times New Roman" w:hAnsi="Times New Roman" w:cs="Times New Roman"/>
        </w:rPr>
      </w:pPr>
      <w:r>
        <w:rPr>
          <w:rFonts w:ascii="Times New Roman" w:hAnsi="Times New Roman" w:cs="Times New Roman"/>
          <w:b/>
        </w:rPr>
        <w:t xml:space="preserve">Jeżeli w opisie przedmiotu zamówienia wskazane są konkretne rozwiązania techniczne, dopuszcza się stosowanie rozwiązań równoważnych, co do ich cech i parametrów – określonych dla danej pozycji przedmiotu zamówienia - , a wszystkie ewentualne  nazwy firmowe urządzeń i wyrobów użyte w opisie przedmiotu zamówienia powinny być traktowane jako definicje standardowe, a nie konkretne nazwy firmowe urządzeń, wyrobów zastosowanych w niniejszej dokumentacji. </w:t>
      </w:r>
      <w:r>
        <w:rPr>
          <w:rFonts w:ascii="Times New Roman" w:hAnsi="Times New Roman" w:cs="Times New Roman"/>
          <w:b/>
          <w:bCs/>
        </w:rPr>
        <w:t>Obowiązek udowodnienia  równoważności leży po stronie Wykonawcy</w:t>
      </w:r>
      <w:r>
        <w:rPr>
          <w:rFonts w:ascii="Times New Roman" w:hAnsi="Times New Roman" w:cs="Times New Roman"/>
          <w:bCs/>
        </w:rPr>
        <w:t>.</w:t>
      </w:r>
    </w:p>
    <w:p w:rsidR="0009321D" w:rsidRDefault="00545642"/>
    <w:sectPr w:rsidR="0009321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7EA" w:rsidRDefault="00E147EA" w:rsidP="00017C44">
      <w:r>
        <w:separator/>
      </w:r>
    </w:p>
  </w:endnote>
  <w:endnote w:type="continuationSeparator" w:id="0">
    <w:p w:rsidR="00E147EA" w:rsidRDefault="00E147EA" w:rsidP="00017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7EA" w:rsidRDefault="00E147EA" w:rsidP="00017C44">
      <w:r>
        <w:separator/>
      </w:r>
    </w:p>
  </w:footnote>
  <w:footnote w:type="continuationSeparator" w:id="0">
    <w:p w:rsidR="00E147EA" w:rsidRDefault="00E147EA" w:rsidP="00017C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126" w:rsidRDefault="00110126" w:rsidP="00110126">
    <w:pPr>
      <w:pStyle w:val="Tekstpodstawowy"/>
      <w:pBdr>
        <w:bottom w:val="single" w:sz="12" w:space="1" w:color="auto"/>
      </w:pBdr>
      <w:spacing w:line="276" w:lineRule="auto"/>
      <w:ind w:left="-709" w:right="-613"/>
      <w:jc w:val="center"/>
    </w:pPr>
    <w:bookmarkStart w:id="1" w:name="_Hlk119065276"/>
    <w:r>
      <w:rPr>
        <w:b/>
      </w:rPr>
      <w:t xml:space="preserve">ZP/62/2024 - </w:t>
    </w:r>
    <w:r w:rsidRPr="00F27882">
      <w:rPr>
        <w:b/>
      </w:rPr>
      <w:t>„</w:t>
    </w:r>
    <w:r>
      <w:rPr>
        <w:b/>
      </w:rPr>
      <w:t>Dostawa sprzętu informatycznego, w tym w ramach dotacji na potrzeby SP ZOZ CSK UM w Łodzi</w:t>
    </w:r>
    <w:r w:rsidRPr="006247C5">
      <w:t>”</w:t>
    </w:r>
    <w:bookmarkEnd w:id="1"/>
  </w:p>
  <w:p w:rsidR="00110126" w:rsidRDefault="001101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464BC"/>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25AE2E35"/>
    <w:multiLevelType w:val="multilevel"/>
    <w:tmpl w:val="8BB8B83E"/>
    <w:lvl w:ilvl="0">
      <w:start w:val="2"/>
      <w:numFmt w:val="decimal"/>
      <w:lvlText w:val="%1."/>
      <w:lvlJc w:val="left"/>
      <w:pPr>
        <w:ind w:left="566" w:firstLine="0"/>
      </w:pPr>
      <w:rPr>
        <w:rFonts w:ascii="Times New Roman" w:eastAsia="Calibri" w:hAnsi="Times New Roman" w:cs="Times New Roman" w:hint="default"/>
        <w:b/>
        <w:bCs/>
        <w:i w:val="0"/>
        <w:strike w:val="0"/>
        <w:dstrike w:val="0"/>
        <w:color w:val="000000"/>
        <w:sz w:val="22"/>
        <w:szCs w:val="22"/>
        <w:u w:val="none" w:color="000000"/>
        <w:effect w:val="none"/>
        <w:bdr w:val="none" w:sz="0" w:space="0" w:color="auto" w:frame="1"/>
        <w:vertAlign w:val="baseline"/>
      </w:rPr>
    </w:lvl>
    <w:lvl w:ilvl="1">
      <w:start w:val="1"/>
      <w:numFmt w:val="decimal"/>
      <w:lvlText w:val="%1.%2."/>
      <w:lvlJc w:val="left"/>
      <w:pPr>
        <w:ind w:left="1291" w:firstLine="0"/>
      </w:pPr>
      <w:rPr>
        <w:rFonts w:ascii="Times New Roman" w:eastAsia="Calibri" w:hAnsi="Times New Roman" w:cs="Times New Roman" w:hint="default"/>
        <w:b w:val="0"/>
        <w:i w:val="0"/>
        <w:strike w:val="0"/>
        <w:dstrike w:val="0"/>
        <w:color w:val="000000"/>
        <w:sz w:val="22"/>
        <w:szCs w:val="22"/>
        <w:u w:val="none" w:color="000000"/>
        <w:effect w:val="none"/>
        <w:bdr w:val="none" w:sz="0" w:space="0" w:color="auto" w:frame="1"/>
        <w:vertAlign w:val="baseline"/>
      </w:rPr>
    </w:lvl>
    <w:lvl w:ilvl="2">
      <w:start w:val="1"/>
      <w:numFmt w:val="decimal"/>
      <w:lvlText w:val="%1.%2.%3."/>
      <w:lvlJc w:val="left"/>
      <w:pPr>
        <w:ind w:left="1853" w:firstLine="0"/>
      </w:pPr>
      <w:rPr>
        <w:rFonts w:ascii="Times New Roman" w:eastAsia="Calibri" w:hAnsi="Times New Roman" w:cs="Times New Roman" w:hint="default"/>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2126" w:firstLine="0"/>
      </w:pPr>
      <w:rPr>
        <w:rFonts w:ascii="Times New Roman" w:eastAsia="Calibri" w:hAnsi="Times New Roman" w:cs="Times New Roman" w:hint="default"/>
        <w:b w:val="0"/>
        <w:i w:val="0"/>
        <w:strike w:val="0"/>
        <w:dstrike w:val="0"/>
        <w:color w:val="000000"/>
        <w:sz w:val="22"/>
        <w:szCs w:val="22"/>
        <w:u w:val="none" w:color="000000"/>
        <w:effect w:val="none"/>
        <w:bdr w:val="none" w:sz="0" w:space="0" w:color="auto" w:frame="1"/>
        <w:vertAlign w:val="baseline"/>
      </w:rPr>
    </w:lvl>
    <w:lvl w:ilvl="4">
      <w:start w:val="1"/>
      <w:numFmt w:val="lowerLetter"/>
      <w:lvlText w:val="%5"/>
      <w:lvlJc w:val="left"/>
      <w:pPr>
        <w:ind w:left="179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start w:val="1"/>
      <w:numFmt w:val="lowerRoman"/>
      <w:lvlText w:val="%6"/>
      <w:lvlJc w:val="left"/>
      <w:pPr>
        <w:ind w:left="251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start w:val="1"/>
      <w:numFmt w:val="decimal"/>
      <w:lvlText w:val="%7"/>
      <w:lvlJc w:val="left"/>
      <w:pPr>
        <w:ind w:left="323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start w:val="1"/>
      <w:numFmt w:val="lowerLetter"/>
      <w:lvlText w:val="%8"/>
      <w:lvlJc w:val="left"/>
      <w:pPr>
        <w:ind w:left="395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start w:val="1"/>
      <w:numFmt w:val="lowerRoman"/>
      <w:lvlText w:val="%9"/>
      <w:lvlJc w:val="left"/>
      <w:pPr>
        <w:ind w:left="467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num w:numId="1">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C44"/>
    <w:rsid w:val="00017C44"/>
    <w:rsid w:val="00110126"/>
    <w:rsid w:val="005224E3"/>
    <w:rsid w:val="00536595"/>
    <w:rsid w:val="00545642"/>
    <w:rsid w:val="005A3BAF"/>
    <w:rsid w:val="00607194"/>
    <w:rsid w:val="00732602"/>
    <w:rsid w:val="007E249D"/>
    <w:rsid w:val="00934234"/>
    <w:rsid w:val="00A4763A"/>
    <w:rsid w:val="00C0131E"/>
    <w:rsid w:val="00D334FC"/>
    <w:rsid w:val="00E147EA"/>
    <w:rsid w:val="00EA67BC"/>
    <w:rsid w:val="00F217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A6134"/>
  <w15:chartTrackingRefBased/>
  <w15:docId w15:val="{7452C0F1-6033-4618-A31C-1F28D2399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7C44"/>
    <w:pPr>
      <w:spacing w:after="0" w:line="240" w:lineRule="auto"/>
    </w:pPr>
    <w:rPr>
      <w:rFonts w:ascii="Calibri" w:eastAsiaTheme="minorEastAsia" w:hAnsi="Calibri" w:cs="Calibri"/>
      <w:lang w:eastAsia="zh-CN"/>
    </w:rPr>
  </w:style>
  <w:style w:type="paragraph" w:styleId="Nagwek2">
    <w:name w:val="heading 2"/>
    <w:basedOn w:val="Normalny"/>
    <w:next w:val="Normalny"/>
    <w:link w:val="Nagwek2Znak"/>
    <w:semiHidden/>
    <w:unhideWhenUsed/>
    <w:qFormat/>
    <w:rsid w:val="00017C44"/>
    <w:pPr>
      <w:keepNext/>
      <w:suppressAutoHyphens/>
      <w:spacing w:before="240" w:after="60"/>
      <w:outlineLvl w:val="1"/>
    </w:pPr>
    <w:rPr>
      <w:rFonts w:ascii="Calibri Light" w:eastAsia="Times New Roman" w:hAnsi="Calibri Light" w:cs="Times New Roman"/>
      <w:b/>
      <w:bCs/>
      <w:i/>
      <w:i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017C44"/>
    <w:rPr>
      <w:rFonts w:ascii="Calibri Light" w:eastAsia="Times New Roman" w:hAnsi="Calibri Light" w:cs="Times New Roman"/>
      <w:b/>
      <w:bCs/>
      <w:i/>
      <w:iCs/>
      <w:sz w:val="28"/>
      <w:szCs w:val="28"/>
      <w:lang w:eastAsia="ar-SA"/>
    </w:rPr>
  </w:style>
  <w:style w:type="character" w:styleId="Hipercze">
    <w:name w:val="Hyperlink"/>
    <w:basedOn w:val="Domylnaczcionkaakapitu"/>
    <w:uiPriority w:val="99"/>
    <w:semiHidden/>
    <w:unhideWhenUsed/>
    <w:rsid w:val="00017C44"/>
    <w:rPr>
      <w:color w:val="0563C1"/>
      <w:u w:val="single"/>
    </w:rPr>
  </w:style>
  <w:style w:type="paragraph" w:customStyle="1" w:styleId="Tabelapozycja">
    <w:name w:val="Tabela pozycja"/>
    <w:basedOn w:val="Normalny"/>
    <w:rsid w:val="00017C44"/>
    <w:rPr>
      <w:rFonts w:ascii="Arial" w:hAnsi="Arial" w:cs="Arial"/>
    </w:rPr>
  </w:style>
  <w:style w:type="paragraph" w:styleId="Nagwek">
    <w:name w:val="header"/>
    <w:basedOn w:val="Normalny"/>
    <w:link w:val="NagwekZnak"/>
    <w:uiPriority w:val="99"/>
    <w:unhideWhenUsed/>
    <w:rsid w:val="00017C44"/>
    <w:pPr>
      <w:tabs>
        <w:tab w:val="center" w:pos="4536"/>
        <w:tab w:val="right" w:pos="9072"/>
      </w:tabs>
    </w:pPr>
  </w:style>
  <w:style w:type="character" w:customStyle="1" w:styleId="NagwekZnak">
    <w:name w:val="Nagłówek Znak"/>
    <w:basedOn w:val="Domylnaczcionkaakapitu"/>
    <w:link w:val="Nagwek"/>
    <w:uiPriority w:val="99"/>
    <w:rsid w:val="00017C44"/>
    <w:rPr>
      <w:rFonts w:ascii="Calibri" w:eastAsiaTheme="minorEastAsia" w:hAnsi="Calibri" w:cs="Calibri"/>
      <w:lang w:eastAsia="zh-CN"/>
    </w:rPr>
  </w:style>
  <w:style w:type="paragraph" w:styleId="Stopka">
    <w:name w:val="footer"/>
    <w:basedOn w:val="Normalny"/>
    <w:link w:val="StopkaZnak"/>
    <w:uiPriority w:val="99"/>
    <w:unhideWhenUsed/>
    <w:rsid w:val="00017C44"/>
    <w:pPr>
      <w:tabs>
        <w:tab w:val="center" w:pos="4536"/>
        <w:tab w:val="right" w:pos="9072"/>
      </w:tabs>
    </w:pPr>
  </w:style>
  <w:style w:type="character" w:customStyle="1" w:styleId="StopkaZnak">
    <w:name w:val="Stopka Znak"/>
    <w:basedOn w:val="Domylnaczcionkaakapitu"/>
    <w:link w:val="Stopka"/>
    <w:uiPriority w:val="99"/>
    <w:rsid w:val="00017C44"/>
    <w:rPr>
      <w:rFonts w:ascii="Calibri" w:eastAsiaTheme="minorEastAsia" w:hAnsi="Calibri" w:cs="Calibri"/>
      <w:lang w:eastAsia="zh-CN"/>
    </w:rPr>
  </w:style>
  <w:style w:type="paragraph" w:styleId="Tekstpodstawowy">
    <w:name w:val="Body Text"/>
    <w:basedOn w:val="Normalny"/>
    <w:link w:val="TekstpodstawowyZnak"/>
    <w:uiPriority w:val="99"/>
    <w:unhideWhenUsed/>
    <w:rsid w:val="00110126"/>
    <w:pPr>
      <w:spacing w:after="120"/>
    </w:pPr>
  </w:style>
  <w:style w:type="character" w:customStyle="1" w:styleId="TekstpodstawowyZnak">
    <w:name w:val="Tekst podstawowy Znak"/>
    <w:basedOn w:val="Domylnaczcionkaakapitu"/>
    <w:link w:val="Tekstpodstawowy"/>
    <w:uiPriority w:val="99"/>
    <w:rsid w:val="00110126"/>
    <w:rPr>
      <w:rFonts w:ascii="Calibri" w:eastAsiaTheme="minorEastAsia" w:hAnsi="Calibri" w:cs="Calibri"/>
      <w:lang w:eastAsia="zh-CN"/>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34234"/>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934234"/>
    <w:rPr>
      <w:rFonts w:ascii="Calibri" w:eastAsiaTheme="minorEastAsia"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59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249</Words>
  <Characters>1498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Józefowicz</dc:creator>
  <cp:keywords/>
  <dc:description/>
  <cp:lastModifiedBy>Kinga Miśkiewicz</cp:lastModifiedBy>
  <cp:revision>8</cp:revision>
  <dcterms:created xsi:type="dcterms:W3CDTF">2024-07-31T14:23:00Z</dcterms:created>
  <dcterms:modified xsi:type="dcterms:W3CDTF">2024-08-09T08:35:00Z</dcterms:modified>
</cp:coreProperties>
</file>