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:rsidR="0014123E" w:rsidRPr="0014123E" w:rsidRDefault="00D41202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:rsidR="0014123E" w:rsidRPr="0014123E" w:rsidRDefault="00D41202" w:rsidP="00D41202">
      <w:pPr>
        <w:tabs>
          <w:tab w:val="left" w:pos="2188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:rsidR="00303CF1" w:rsidRDefault="00303CF1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:rsidR="00C36C25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</w:p>
    <w:p w:rsidR="00C36C25" w:rsidRPr="00AA5243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:rsidR="002359F4" w:rsidRPr="002359F4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359F4">
        <w:rPr>
          <w:rFonts w:asciiTheme="minorHAnsi" w:hAnsiTheme="minorHAnsi" w:cstheme="minorHAnsi"/>
          <w:b/>
          <w:u w:val="single"/>
        </w:rPr>
        <w:t>OŚWIADCZENIE PODMIOTU UDOSTĘPNIAJĄCEGO ZASOBY</w:t>
      </w:r>
    </w:p>
    <w:p w:rsidR="002359F4" w:rsidRPr="002359F4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359F4">
        <w:rPr>
          <w:rFonts w:asciiTheme="minorHAnsi" w:hAnsiTheme="minorHAnsi" w:cstheme="minorHAnsi"/>
          <w:b/>
          <w:u w:val="single"/>
        </w:rPr>
        <w:t xml:space="preserve">O NIEPODLEGANIU WYKLUCZENIU </w:t>
      </w:r>
    </w:p>
    <w:p w:rsidR="002359F4" w:rsidRPr="002359F4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359F4">
        <w:rPr>
          <w:rFonts w:asciiTheme="minorHAnsi" w:hAnsiTheme="minorHAnsi" w:cstheme="minorHAnsi"/>
          <w:b/>
          <w:u w:val="single"/>
        </w:rPr>
        <w:t xml:space="preserve">ORAZ SPEŁNIANIU WARUNKÓW UDZIAŁU W POSTĘPOWANIU </w:t>
      </w:r>
    </w:p>
    <w:p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:rsidR="00303CF1" w:rsidRPr="00AA5243" w:rsidRDefault="00303CF1" w:rsidP="00AA5243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Prawo zamówień publicznych (dalej jako: ustawa Pzp)</w:t>
      </w:r>
    </w:p>
    <w:p w:rsidR="00D53950" w:rsidRDefault="00D53950" w:rsidP="00D53950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:rsidR="00D53950" w:rsidRDefault="00D53950" w:rsidP="00D53950">
      <w:pPr>
        <w:pStyle w:val="Tekstpodstawowy"/>
        <w:ind w:left="360"/>
        <w:jc w:val="center"/>
        <w:rPr>
          <w:rFonts w:ascii="Calibri" w:hAnsi="Calibri"/>
          <w:b/>
          <w:i/>
          <w:sz w:val="28"/>
          <w:szCs w:val="28"/>
        </w:rPr>
      </w:pPr>
      <w:r w:rsidRPr="00F77358">
        <w:rPr>
          <w:rFonts w:ascii="Calibri" w:hAnsi="Calibri"/>
          <w:b/>
          <w:i/>
          <w:sz w:val="28"/>
          <w:szCs w:val="28"/>
        </w:rPr>
        <w:t>Termomodernizacja budynku przedszkola w Bierdzanach</w:t>
      </w:r>
    </w:p>
    <w:p w:rsidR="00D53950" w:rsidRPr="00F77358" w:rsidRDefault="00D53950" w:rsidP="00D53950">
      <w:pPr>
        <w:pStyle w:val="Tekstpodstawowy"/>
        <w:ind w:left="360"/>
        <w:jc w:val="center"/>
        <w:rPr>
          <w:rFonts w:ascii="Calibri" w:hAnsi="Calibri"/>
          <w:b/>
          <w:i/>
          <w:sz w:val="28"/>
          <w:szCs w:val="28"/>
        </w:rPr>
      </w:pPr>
    </w:p>
    <w:p w:rsidR="00303CF1" w:rsidRPr="00AA5243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przeciwko obrotowi gospodarczemu, o których mowa w art. 296–307 Kodeksu karnego, przestępstwo oszustwa, o którym mowa w art. 286 Kodeksu karnego, przestępstwo przeciwko </w:t>
      </w:r>
      <w:r w:rsidRPr="0014123E">
        <w:rPr>
          <w:rFonts w:asciiTheme="minorHAnsi" w:hAnsiTheme="minorHAnsi" w:cstheme="minorHAnsi"/>
        </w:rPr>
        <w:lastRenderedPageBreak/>
        <w:t>wiarygodności dokumentów, o których mowa w art. 270–277d Kodeksu karnego, lub przestępstwo skarbowe,</w:t>
      </w:r>
    </w:p>
    <w:p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:rsidR="00303CF1" w:rsidRPr="00AA5243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5E62C3" w:rsidRPr="00AA5243" w:rsidRDefault="00303CF1" w:rsidP="00AA5243">
      <w:pPr>
        <w:pStyle w:val="Akapitzlist"/>
        <w:spacing w:line="360" w:lineRule="auto"/>
        <w:ind w:left="709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:rsidR="005E62C3" w:rsidRPr="00AA5243" w:rsidRDefault="005E62C3" w:rsidP="00AA5243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AA5243" w:rsidRDefault="00AA524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lastRenderedPageBreak/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0" w:name="highlightHit_295"/>
      <w:bookmarkEnd w:id="0"/>
      <w:r w:rsidRPr="00AA5243">
        <w:rPr>
          <w:rFonts w:asciiTheme="minorHAnsi" w:hAnsiTheme="minorHAnsi" w:cstheme="minorHAnsi"/>
        </w:rPr>
        <w:t xml:space="preserve">zamówienia </w:t>
      </w:r>
      <w:bookmarkStart w:id="1" w:name="highlightHit_296"/>
      <w:bookmarkEnd w:id="1"/>
      <w:r w:rsidRPr="00AA5243">
        <w:rPr>
          <w:rFonts w:asciiTheme="minorHAnsi" w:hAnsiTheme="minorHAnsi" w:cstheme="minorHAnsi"/>
        </w:rPr>
        <w:t>publicznego lub umowy koncesji, co doprowadziło do wypowiedzenia lub odstąpienia od umowy, odszkodowania, wykonania zastępczego lub realizacji uprawnień z tytułu rękojmi za wady</w:t>
      </w:r>
    </w:p>
    <w:p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:rsidR="00303CF1" w:rsidRDefault="005E62C3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AA5243">
        <w:rPr>
          <w:rFonts w:asciiTheme="minorHAnsi" w:eastAsia="Calibri" w:hAnsiTheme="minorHAnsi" w:cstheme="minorHAnsi"/>
          <w:b/>
          <w:bCs/>
          <w:i/>
          <w:iCs/>
        </w:rPr>
        <w:t xml:space="preserve">7,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:rsidR="00C05E5B" w:rsidRPr="00AA5243" w:rsidRDefault="00C05E5B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:rsidR="00C05E5B" w:rsidRPr="00C05E5B" w:rsidRDefault="00C05E5B" w:rsidP="00C05E5B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05E5B">
        <w:rPr>
          <w:rFonts w:ascii="Calibri" w:hAnsi="Calibri"/>
          <w:b/>
          <w:bCs/>
          <w:i/>
          <w:iCs/>
        </w:rPr>
        <w:t>Nie podlegam wykluczeniu z postępowania na podst. art. 7 ust. 1 ustawy o szczególnych rozwiązaniach w zakresie przeciwdziałania wspieraniu agresji na Ukrainę oraz służących ochronie bezpieczeństwa narodowego (Dz. U. z 2022r. Poz. 835).</w:t>
      </w:r>
    </w:p>
    <w:p w:rsidR="00C05E5B" w:rsidRPr="00C05E5B" w:rsidRDefault="00C05E5B" w:rsidP="00C05E5B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Pzp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AA5243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AA5243">
        <w:rPr>
          <w:rFonts w:asciiTheme="minorHAnsi" w:hAnsiTheme="minorHAnsi" w:cstheme="minorHAnsi"/>
          <w:i/>
          <w:sz w:val="18"/>
        </w:rPr>
        <w:t>7,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:rsidR="0014123E" w:rsidRPr="0014123E" w:rsidRDefault="007353C1" w:rsidP="00AA5243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D05BDA">
        <w:rPr>
          <w:rFonts w:asciiTheme="minorHAnsi" w:hAnsiTheme="minorHAnsi" w:cstheme="minorHAnsi"/>
        </w:rPr>
        <w:t>4</w:t>
      </w:r>
      <w:r w:rsidRPr="00D05BDA">
        <w:rPr>
          <w:rFonts w:asciiTheme="minorHAnsi" w:hAnsiTheme="minorHAnsi" w:cstheme="minorHAnsi"/>
        </w:rPr>
        <w:t xml:space="preserve"> rozdziału XI</w:t>
      </w:r>
      <w:r w:rsidR="005775FC" w:rsidRPr="00D05BDA">
        <w:rPr>
          <w:rFonts w:asciiTheme="minorHAnsi" w:hAnsiTheme="minorHAnsi" w:cstheme="minorHAnsi"/>
        </w:rPr>
        <w:t>X</w:t>
      </w:r>
      <w:r w:rsidRPr="00D05BDA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:rsidR="00430563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14123E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D1B" w:rsidRDefault="00552D1B" w:rsidP="00303CF1">
      <w:r>
        <w:separator/>
      </w:r>
    </w:p>
  </w:endnote>
  <w:endnote w:type="continuationSeparator" w:id="0">
    <w:p w:rsidR="00552D1B" w:rsidRDefault="00552D1B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777537"/>
      <w:docPartObj>
        <w:docPartGallery w:val="Page Numbers (Bottom of Page)"/>
        <w:docPartUnique/>
      </w:docPartObj>
    </w:sdtPr>
    <w:sdtContent>
      <w:p w:rsidR="00303CF1" w:rsidRDefault="00D12187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D53950">
          <w:rPr>
            <w:noProof/>
          </w:rPr>
          <w:t>1</w:t>
        </w:r>
        <w:r>
          <w:fldChar w:fldCharType="end"/>
        </w:r>
      </w:p>
    </w:sdtContent>
  </w:sdt>
  <w:p w:rsidR="00303CF1" w:rsidRDefault="00303C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D1B" w:rsidRDefault="00552D1B" w:rsidP="00303CF1">
      <w:r>
        <w:separator/>
      </w:r>
    </w:p>
  </w:footnote>
  <w:footnote w:type="continuationSeparator" w:id="0">
    <w:p w:rsidR="00552D1B" w:rsidRDefault="00552D1B" w:rsidP="00303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F6" w:rsidRPr="00E312F6" w:rsidRDefault="00E312F6" w:rsidP="00E312F6">
    <w:pPr>
      <w:pBdr>
        <w:bottom w:val="single" w:sz="4" w:space="1" w:color="auto"/>
      </w:pBdr>
      <w:jc w:val="center"/>
      <w:rPr>
        <w:rFonts w:ascii="Calibri" w:hAnsi="Calibri"/>
        <w:bCs/>
        <w:color w:val="000000"/>
        <w:sz w:val="22"/>
        <w:szCs w:val="22"/>
      </w:rPr>
    </w:pPr>
  </w:p>
  <w:p w:rsidR="00E312F6" w:rsidRPr="00E312F6" w:rsidRDefault="00E312F6" w:rsidP="00E312F6">
    <w:pPr>
      <w:pBdr>
        <w:bottom w:val="single" w:sz="4" w:space="1" w:color="auto"/>
      </w:pBdr>
      <w:jc w:val="center"/>
      <w:rPr>
        <w:rFonts w:ascii="Calibri" w:hAnsi="Calibri"/>
        <w:bCs/>
        <w:color w:val="000000"/>
        <w:sz w:val="22"/>
        <w:szCs w:val="22"/>
      </w:rPr>
    </w:pPr>
  </w:p>
  <w:p w:rsidR="00E312F6" w:rsidRPr="00E312F6" w:rsidRDefault="00E312F6" w:rsidP="00E312F6">
    <w:pPr>
      <w:pBdr>
        <w:bottom w:val="single" w:sz="4" w:space="1" w:color="auto"/>
      </w:pBdr>
      <w:rPr>
        <w:rFonts w:ascii="Calibri" w:hAnsi="Calibri" w:cs="Trebuchet MS"/>
      </w:rPr>
    </w:pPr>
    <w:r w:rsidRPr="00E312F6">
      <w:rPr>
        <w:rFonts w:ascii="Calibri" w:hAnsi="Calibri"/>
      </w:rPr>
      <w:t xml:space="preserve">nr sprawy: </w:t>
    </w:r>
    <w:r w:rsidRPr="00E312F6">
      <w:rPr>
        <w:rFonts w:ascii="Calibri" w:hAnsi="Calibri" w:cs="Trebuchet MS"/>
        <w:color w:val="000000"/>
      </w:rPr>
      <w:t xml:space="preserve"> </w:t>
    </w:r>
    <w:r w:rsidRPr="00E312F6">
      <w:rPr>
        <w:rFonts w:ascii="Calibri" w:hAnsi="Calibri" w:cs="Trebuchet MS"/>
        <w:bCs/>
        <w:color w:val="000000"/>
      </w:rPr>
      <w:t>BU.271.1.</w:t>
    </w:r>
    <w:r w:rsidR="00D53950">
      <w:rPr>
        <w:rFonts w:ascii="Calibri" w:hAnsi="Calibri" w:cs="Trebuchet MS"/>
        <w:bCs/>
        <w:color w:val="000000"/>
      </w:rPr>
      <w:t>2023.AKG</w:t>
    </w:r>
  </w:p>
  <w:p w:rsidR="00C36C25" w:rsidRPr="00B45036" w:rsidRDefault="00C36C25" w:rsidP="00C36C25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4</w:t>
    </w:r>
  </w:p>
  <w:p w:rsidR="00C36C25" w:rsidRPr="00C36C25" w:rsidRDefault="00C36C25" w:rsidP="00C36C25">
    <w:pPr>
      <w:pStyle w:val="Nagwek"/>
      <w:rPr>
        <w:rFonts w:eastAsia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A1479"/>
    <w:multiLevelType w:val="multilevel"/>
    <w:tmpl w:val="37E01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423382C"/>
    <w:multiLevelType w:val="hybridMultilevel"/>
    <w:tmpl w:val="24DA2DA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B3EE4F2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8"/>
  </w:num>
  <w:num w:numId="6">
    <w:abstractNumId w:val="10"/>
  </w:num>
  <w:num w:numId="7">
    <w:abstractNumId w:val="3"/>
  </w:num>
  <w:num w:numId="8">
    <w:abstractNumId w:val="15"/>
  </w:num>
  <w:num w:numId="9">
    <w:abstractNumId w:val="13"/>
  </w:num>
  <w:num w:numId="10">
    <w:abstractNumId w:val="2"/>
  </w:num>
  <w:num w:numId="11">
    <w:abstractNumId w:val="4"/>
  </w:num>
  <w:num w:numId="12">
    <w:abstractNumId w:val="6"/>
  </w:num>
  <w:num w:numId="13">
    <w:abstractNumId w:val="9"/>
  </w:num>
  <w:num w:numId="14">
    <w:abstractNumId w:val="16"/>
  </w:num>
  <w:num w:numId="15">
    <w:abstractNumId w:val="12"/>
  </w:num>
  <w:num w:numId="16">
    <w:abstractNumId w:val="7"/>
  </w:num>
  <w:num w:numId="17">
    <w:abstractNumId w:val="14"/>
  </w:num>
  <w:num w:numId="18">
    <w:abstractNumId w:val="11"/>
  </w:num>
  <w:num w:numId="19">
    <w:abstractNumId w:val="1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03CF1"/>
    <w:rsid w:val="0014123E"/>
    <w:rsid w:val="001452E3"/>
    <w:rsid w:val="0016175C"/>
    <w:rsid w:val="00186F17"/>
    <w:rsid w:val="001877B6"/>
    <w:rsid w:val="00187C72"/>
    <w:rsid w:val="001A7D92"/>
    <w:rsid w:val="001E3366"/>
    <w:rsid w:val="001F3E4D"/>
    <w:rsid w:val="00211BAC"/>
    <w:rsid w:val="00222079"/>
    <w:rsid w:val="002359F4"/>
    <w:rsid w:val="00267E3A"/>
    <w:rsid w:val="00275F04"/>
    <w:rsid w:val="002912CC"/>
    <w:rsid w:val="002D6BAE"/>
    <w:rsid w:val="00303CF1"/>
    <w:rsid w:val="00322B81"/>
    <w:rsid w:val="00361FEC"/>
    <w:rsid w:val="00393551"/>
    <w:rsid w:val="0039498A"/>
    <w:rsid w:val="003F73AD"/>
    <w:rsid w:val="00430563"/>
    <w:rsid w:val="00441FB9"/>
    <w:rsid w:val="00444EA2"/>
    <w:rsid w:val="004601FD"/>
    <w:rsid w:val="004B6498"/>
    <w:rsid w:val="004C78EC"/>
    <w:rsid w:val="004F6930"/>
    <w:rsid w:val="005318CC"/>
    <w:rsid w:val="005472DE"/>
    <w:rsid w:val="00552D1B"/>
    <w:rsid w:val="00566245"/>
    <w:rsid w:val="005775FC"/>
    <w:rsid w:val="005E05A7"/>
    <w:rsid w:val="005E5A4C"/>
    <w:rsid w:val="005E62C3"/>
    <w:rsid w:val="006161C2"/>
    <w:rsid w:val="00690DC0"/>
    <w:rsid w:val="00691169"/>
    <w:rsid w:val="006C6E95"/>
    <w:rsid w:val="00724BAB"/>
    <w:rsid w:val="007353C1"/>
    <w:rsid w:val="00764D8B"/>
    <w:rsid w:val="007F47DB"/>
    <w:rsid w:val="0086637F"/>
    <w:rsid w:val="00894A9D"/>
    <w:rsid w:val="008A2F64"/>
    <w:rsid w:val="008B18D1"/>
    <w:rsid w:val="008C79FB"/>
    <w:rsid w:val="008E498E"/>
    <w:rsid w:val="008E74AC"/>
    <w:rsid w:val="009747FC"/>
    <w:rsid w:val="00A93B33"/>
    <w:rsid w:val="00AA5243"/>
    <w:rsid w:val="00AE66D8"/>
    <w:rsid w:val="00BA3C68"/>
    <w:rsid w:val="00C05E5B"/>
    <w:rsid w:val="00C3667B"/>
    <w:rsid w:val="00C36C25"/>
    <w:rsid w:val="00C373B0"/>
    <w:rsid w:val="00C77652"/>
    <w:rsid w:val="00C936A7"/>
    <w:rsid w:val="00CA117F"/>
    <w:rsid w:val="00CC72D9"/>
    <w:rsid w:val="00CD6A3E"/>
    <w:rsid w:val="00D04196"/>
    <w:rsid w:val="00D05BDA"/>
    <w:rsid w:val="00D07C03"/>
    <w:rsid w:val="00D12187"/>
    <w:rsid w:val="00D41202"/>
    <w:rsid w:val="00D53950"/>
    <w:rsid w:val="00DC326D"/>
    <w:rsid w:val="00E03B42"/>
    <w:rsid w:val="00E15A4A"/>
    <w:rsid w:val="00E312F6"/>
    <w:rsid w:val="00E32016"/>
    <w:rsid w:val="00E36912"/>
    <w:rsid w:val="00E3777C"/>
    <w:rsid w:val="00ED3F49"/>
    <w:rsid w:val="00F33722"/>
    <w:rsid w:val="00F458E8"/>
    <w:rsid w:val="00F52EC9"/>
    <w:rsid w:val="00FF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361F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05E5B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D5395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39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D539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C622F-B958-4663-B40B-9B5790FC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kansy_a</cp:lastModifiedBy>
  <cp:revision>24</cp:revision>
  <cp:lastPrinted>2021-04-21T06:23:00Z</cp:lastPrinted>
  <dcterms:created xsi:type="dcterms:W3CDTF">2021-03-30T12:30:00Z</dcterms:created>
  <dcterms:modified xsi:type="dcterms:W3CDTF">2023-02-28T13:15:00Z</dcterms:modified>
</cp:coreProperties>
</file>