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AC6747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3B3DE9" w:rsidRPr="003B3DE9" w:rsidRDefault="00912A2B" w:rsidP="00AC6747">
      <w:pPr>
        <w:pStyle w:val="Standard"/>
        <w:suppressAutoHyphens w:val="0"/>
        <w:autoSpaceDE w:val="0"/>
        <w:jc w:val="both"/>
      </w:pPr>
      <w:r>
        <w:rPr>
          <w:rFonts w:ascii="Calibri" w:hAnsi="Calibri" w:cs="Calibri"/>
          <w:b/>
          <w:sz w:val="22"/>
          <w:szCs w:val="22"/>
          <w:lang w:eastAsia="pl-PL"/>
        </w:rPr>
        <w:t>ZA.271.</w:t>
      </w:r>
      <w:r w:rsidR="003B3DE9">
        <w:rPr>
          <w:rFonts w:ascii="Calibri" w:hAnsi="Calibri" w:cs="Calibri"/>
          <w:b/>
          <w:sz w:val="22"/>
          <w:szCs w:val="22"/>
          <w:lang w:eastAsia="pl-PL"/>
        </w:rPr>
        <w:t>72</w:t>
      </w:r>
      <w:r>
        <w:rPr>
          <w:rFonts w:ascii="Calibri" w:hAnsi="Calibri" w:cs="Calibri"/>
          <w:b/>
          <w:sz w:val="22"/>
          <w:szCs w:val="22"/>
          <w:lang w:eastAsia="pl-PL"/>
        </w:rPr>
        <w:t>.20</w:t>
      </w:r>
      <w:r w:rsidR="0063366A">
        <w:rPr>
          <w:rFonts w:ascii="Calibri" w:hAnsi="Calibri" w:cs="Calibri"/>
          <w:b/>
          <w:sz w:val="22"/>
          <w:szCs w:val="22"/>
          <w:lang w:eastAsia="pl-PL"/>
        </w:rPr>
        <w:t>2</w:t>
      </w:r>
      <w:r w:rsidR="003B3DE9">
        <w:rPr>
          <w:rFonts w:ascii="Calibri" w:hAnsi="Calibri" w:cs="Calibri"/>
          <w:b/>
          <w:sz w:val="22"/>
          <w:szCs w:val="22"/>
          <w:lang w:eastAsia="pl-PL"/>
        </w:rPr>
        <w:t>3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  <w:r w:rsidR="003B3DE9" w:rsidRPr="003B3DE9">
        <w:rPr>
          <w:rFonts w:ascii="Calibri" w:hAnsi="Calibri" w:cs="Calibri"/>
          <w:b/>
          <w:kern w:val="0"/>
          <w:sz w:val="22"/>
          <w:szCs w:val="22"/>
          <w:lang w:eastAsia="pl-PL"/>
        </w:rPr>
        <w:t>Sporządzenie operatów szacunkowych określających wartość nieruchomości (gruntu, części składowych oraz istniejących ograniczonych praw rzeczowych) położonych na ter</w:t>
      </w:r>
      <w:r w:rsidR="003B3DE9" w:rsidRPr="003B3DE9">
        <w:rPr>
          <w:rFonts w:ascii="Calibri" w:hAnsi="Calibri" w:cs="Calibri"/>
          <w:b/>
          <w:kern w:val="0"/>
          <w:sz w:val="22"/>
          <w:szCs w:val="22"/>
          <w:lang w:eastAsia="pl-PL"/>
        </w:rPr>
        <w:t>e</w:t>
      </w:r>
      <w:r w:rsidR="003B3DE9" w:rsidRPr="003B3DE9">
        <w:rPr>
          <w:rFonts w:ascii="Calibri" w:hAnsi="Calibri" w:cs="Calibri"/>
          <w:b/>
          <w:kern w:val="0"/>
          <w:sz w:val="22"/>
          <w:szCs w:val="22"/>
          <w:lang w:eastAsia="pl-PL"/>
        </w:rPr>
        <w:t>nie Powiatu Nowotarskiego w celu ustalenia odszkodowania za nieruchomości, które stały się wł</w:t>
      </w:r>
      <w:r w:rsidR="003B3DE9" w:rsidRPr="003B3DE9">
        <w:rPr>
          <w:rFonts w:ascii="Calibri" w:hAnsi="Calibri" w:cs="Calibri"/>
          <w:b/>
          <w:kern w:val="0"/>
          <w:sz w:val="22"/>
          <w:szCs w:val="22"/>
          <w:lang w:eastAsia="pl-PL"/>
        </w:rPr>
        <w:t>a</w:t>
      </w:r>
      <w:r w:rsidR="003B3DE9" w:rsidRPr="003B3DE9">
        <w:rPr>
          <w:rFonts w:ascii="Calibri" w:hAnsi="Calibri" w:cs="Calibri"/>
          <w:b/>
          <w:kern w:val="0"/>
          <w:sz w:val="22"/>
          <w:szCs w:val="22"/>
          <w:lang w:eastAsia="pl-PL"/>
        </w:rPr>
        <w:t>snością odpowiednich jednostek samorządu terytorialnego na mocy ostatecznych decyzji o zezw</w:t>
      </w:r>
      <w:r w:rsidR="003B3DE9" w:rsidRPr="003B3DE9">
        <w:rPr>
          <w:rFonts w:ascii="Calibri" w:hAnsi="Calibri" w:cs="Calibri"/>
          <w:b/>
          <w:kern w:val="0"/>
          <w:sz w:val="22"/>
          <w:szCs w:val="22"/>
          <w:lang w:eastAsia="pl-PL"/>
        </w:rPr>
        <w:t>o</w:t>
      </w:r>
      <w:r w:rsidR="003B3DE9" w:rsidRPr="003B3DE9">
        <w:rPr>
          <w:rFonts w:ascii="Calibri" w:hAnsi="Calibri" w:cs="Calibri"/>
          <w:b/>
          <w:kern w:val="0"/>
          <w:sz w:val="22"/>
          <w:szCs w:val="22"/>
          <w:lang w:eastAsia="pl-PL"/>
        </w:rPr>
        <w:t>leniu na realizację inwestycji drogowych, ostatecznych decyzji wydanych w trybie art. 73 ustawy Przepisy wprowadzające ustawy reformujące administrację publiczną oraz decyzji właściwych o</w:t>
      </w:r>
      <w:r w:rsidR="003B3DE9" w:rsidRPr="003B3DE9">
        <w:rPr>
          <w:rFonts w:ascii="Calibri" w:hAnsi="Calibri" w:cs="Calibri"/>
          <w:b/>
          <w:kern w:val="0"/>
          <w:sz w:val="22"/>
          <w:szCs w:val="22"/>
          <w:lang w:eastAsia="pl-PL"/>
        </w:rPr>
        <w:t>r</w:t>
      </w:r>
      <w:r w:rsidR="003B3DE9" w:rsidRPr="003B3DE9">
        <w:rPr>
          <w:rFonts w:ascii="Calibri" w:hAnsi="Calibri" w:cs="Calibri"/>
          <w:b/>
          <w:kern w:val="0"/>
          <w:sz w:val="22"/>
          <w:szCs w:val="22"/>
          <w:lang w:eastAsia="pl-PL"/>
        </w:rPr>
        <w:t>ganów jednostek samorządu terytorialnego zatwierdzających podział w trybie art. 98 ustawy o gospodarce nieruchomościami.</w:t>
      </w:r>
    </w:p>
    <w:p w:rsidR="003B3DE9" w:rsidRPr="003B3DE9" w:rsidRDefault="003B3DE9" w:rsidP="003B3DE9">
      <w:pPr>
        <w:widowControl/>
        <w:autoSpaceDN/>
        <w:spacing w:line="276" w:lineRule="auto"/>
        <w:ind w:left="567" w:hanging="709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Cena jednostkowa dotyczy operatu szacunkowego wyceny nieruchomości (jedna księga wieczysta lub jednolite władanie) obejmującej działki położone w jednym kompleksie, dla następujących przypadków:</w:t>
      </w:r>
    </w:p>
    <w:p w:rsidR="003B3DE9" w:rsidRPr="003B3DE9" w:rsidRDefault="003B3DE9" w:rsidP="003B3DE9">
      <w:pPr>
        <w:widowControl/>
        <w:numPr>
          <w:ilvl w:val="1"/>
          <w:numId w:val="15"/>
        </w:numPr>
        <w:autoSpaceDN/>
        <w:spacing w:line="276" w:lineRule="auto"/>
        <w:ind w:left="851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grunt niezabudowany bez ograniczonych praw rzeczowych,</w:t>
      </w:r>
    </w:p>
    <w:p w:rsidR="003B3DE9" w:rsidRPr="003B3DE9" w:rsidRDefault="003B3DE9" w:rsidP="003B3DE9">
      <w:pPr>
        <w:widowControl/>
        <w:numPr>
          <w:ilvl w:val="1"/>
          <w:numId w:val="15"/>
        </w:numPr>
        <w:autoSpaceDN/>
        <w:spacing w:line="276" w:lineRule="auto"/>
        <w:ind w:left="851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grunt niezabudowany z ograniczonymi prawami rzeczowymi,</w:t>
      </w:r>
    </w:p>
    <w:p w:rsidR="003B3DE9" w:rsidRPr="003B3DE9" w:rsidRDefault="003B3DE9" w:rsidP="003B3DE9">
      <w:pPr>
        <w:widowControl/>
        <w:numPr>
          <w:ilvl w:val="1"/>
          <w:numId w:val="15"/>
        </w:numPr>
        <w:autoSpaceDN/>
        <w:spacing w:line="276" w:lineRule="auto"/>
        <w:ind w:left="851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grunt z częściami składowymi bez ograniczonych praw rzeczowych,</w:t>
      </w:r>
    </w:p>
    <w:p w:rsidR="003B3DE9" w:rsidRPr="003B3DE9" w:rsidRDefault="003B3DE9" w:rsidP="003B3DE9">
      <w:pPr>
        <w:widowControl/>
        <w:numPr>
          <w:ilvl w:val="1"/>
          <w:numId w:val="15"/>
        </w:numPr>
        <w:autoSpaceDN/>
        <w:spacing w:line="276" w:lineRule="auto"/>
        <w:ind w:left="851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grunt z częściami składowymi z ograniczonymi prawami rzeczowymi.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Operaty szacunkowe muszą być wykonane zgodnie z: </w:t>
      </w:r>
    </w:p>
    <w:p w:rsidR="003B3DE9" w:rsidRPr="003B3DE9" w:rsidRDefault="003B3DE9" w:rsidP="003B3DE9">
      <w:pPr>
        <w:widowControl/>
        <w:numPr>
          <w:ilvl w:val="0"/>
          <w:numId w:val="17"/>
        </w:numPr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ustawą z dnia 21 sierpnia 1997 r. o gospodarce nieruchomościami (Dz.U. z 2021 r. poz. 1899,                z </w:t>
      </w:r>
      <w:proofErr w:type="spellStart"/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późn</w:t>
      </w:r>
      <w:proofErr w:type="spellEnd"/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. zm.); </w:t>
      </w:r>
    </w:p>
    <w:p w:rsidR="003B3DE9" w:rsidRPr="003B3DE9" w:rsidRDefault="003B3DE9" w:rsidP="003B3DE9">
      <w:pPr>
        <w:widowControl/>
        <w:numPr>
          <w:ilvl w:val="0"/>
          <w:numId w:val="17"/>
        </w:numPr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rozporządzeniem Rady Ministrów z dnia 21 września 2004 r. w sprawie wyceny nieruchomości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i sporządzania operatu szacunkowego (Dz.U. z 2021 r., poz. 555); </w:t>
      </w:r>
    </w:p>
    <w:p w:rsidR="003B3DE9" w:rsidRPr="003B3DE9" w:rsidRDefault="003B3DE9" w:rsidP="003B3DE9">
      <w:pPr>
        <w:widowControl/>
        <w:numPr>
          <w:ilvl w:val="0"/>
          <w:numId w:val="17"/>
        </w:numPr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Standardami Zawodowymi Polskiej Federacji Stowarzyszeń Rzeczoznawców Majątkowych; </w:t>
      </w:r>
    </w:p>
    <w:p w:rsidR="003B3DE9" w:rsidRPr="003B3DE9" w:rsidRDefault="003B3DE9" w:rsidP="003B3DE9">
      <w:pPr>
        <w:widowControl/>
        <w:numPr>
          <w:ilvl w:val="0"/>
          <w:numId w:val="17"/>
        </w:numPr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innymi przepisami obowiązującymi w tym zakresie;</w:t>
      </w:r>
    </w:p>
    <w:p w:rsidR="003B3DE9" w:rsidRPr="003B3DE9" w:rsidRDefault="003B3DE9" w:rsidP="003B3DE9">
      <w:pPr>
        <w:widowControl/>
        <w:numPr>
          <w:ilvl w:val="0"/>
          <w:numId w:val="17"/>
        </w:numPr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Kodeksem Etyki Zawodowej Rzeczoznawców Majątkowych,</w:t>
      </w:r>
    </w:p>
    <w:p w:rsidR="003B3DE9" w:rsidRPr="003B3DE9" w:rsidRDefault="003B3DE9" w:rsidP="003B3DE9">
      <w:pPr>
        <w:widowControl/>
        <w:autoSpaceDN/>
        <w:spacing w:line="276" w:lineRule="auto"/>
        <w:ind w:left="720" w:hanging="709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tj. rzetelnie, uczciwie, bezstronnie, z zachowaniem tajemnicy zawodowej 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oraz z uwzględnieniem aktualnego stanowiska organów II instancji i orzecznictwa sądów.  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W postępowaniach, na potrzeby których zostaną wykonane ww. opracowania rzeczoznawca majątkowy na wezwanie Zamawiającego zobowiązany jest do uczestnictwa w rozprawach 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lastRenderedPageBreak/>
        <w:t xml:space="preserve">administracyjnych z udziałem stron prowadzonego postępowania (w wypadku konieczności 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>ich przeprowadzenia) oraz do składania pisemnych wyjaśnień.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Jeżeli strony wniosą uwagi i zastrzeżenia do sporządzonego operatu szacunkowego, rzeczoznawca majątkowy odniesie się do nich na piśmie w terminie nie dłuższym niż 14 dni od dnia powiadomienia go przez Zamawiającego o uwagach czy zastrzeżeniach.   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Rzeczoznawca majątkowy zobowiązany jest do potwierdzania aktualności wykonanego operatu szacunkowego po upływie 12 miesięcy od daty jego sporządzenia, stosownie do art. 156 ust. 4 ustawy o gospodarce nieruchomościami - w terminie nie dłuższym niż 14 dni kalendarzowych od daty przekazania takiego wniosku przez Zamawiającego oraz w przypadku nie stwierdzenia znacznych różnic cen rynkowych nieruchomości.    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W przypadku uchylenia decyzji z powodu wadliwie sporządzonego operatu szacunkowego rzeczoznawca majątkowy sporządzi bez dodatkowego wynagrodzenia prawidłowy operat szacunkowy w oparciu o wytyczne organu II instancji lub sądu administracyjnego w terminie                   21 dni od dnia powiadomienia biegłego przez Zamawiającego o ujawnionych wadach                                i nieprawidłowościach. 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W przypadku obciążenia przedmiotu wyceny więcej niż jednym prawem rzeczowym, rzeczoznawca majątkowy powinien określić wartość każdego z tych praw oddzielnie.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Jeżeli przedmiotem wyceny jest działka obciążona jedną służebnością gruntową ustanowioną 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na rzecz właścicieli innych nieruchomości, rzeczoznawca majątkowy zobowiązany jest określić wartość tego prawa oddzielnie dla poszczególnych właścicieli nieruchomości władnących. 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Rzeczoznawca majątkowy zobowiązany jest do umieszczania w operacie szacunkowym pełnego opisu nieruchomości porównawczych przyjętych do wyceny w kontekście obranych cech rynkowych stosownie do aktualnego orzecznictwa sądów administracyjnych (por. wyrok WSA 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w Krakowie z dnia 29.04.2021 r., sygn. akt II SA/Kr 157/21). 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8" w:hanging="284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Rzeczoznawca majątkowy zobowiązany jest do umieszczania w operacie szacunkowym dokumentacji fotograficznej sporządzonej w trakcie oględzin nieruchomości. 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Rzeczoznawca majątkowy zobowiązany jest uzasadnić przyjęty sposób wyceny 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>oraz wskazać i wyjaśnić przesłanki, które doprowadziły do przedstawionych konkluzji w sposób logiczny, spójny i wiarygodny.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Rzeczoznawca majątkowy zobowiązany jest do zamieszczenia w operacie szacunkowym wyjaśnień, czy przeznaczenie nieruchomości wycenianej, zgodne z celem wywłaszczenia (przejęcia) powoduje wzrost jej wartości (zasada korzyści wynikająca z art. 134 ustawy 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o gospodarce nieruchomościami). W przypadku stwierdzenia, że zachodzi zasada korzyści rzeczoznawca majątkowy przeprowadza wycenę zgodnie z ukształtowanym i jednolitym orzecznictwem sądów administracyjnych (por. wyrok NSA z dnia 10.07.2019 r., sygn. akt I OSK 2430/17). </w:t>
      </w:r>
    </w:p>
    <w:p w:rsidR="003B3DE9" w:rsidRPr="003B3DE9" w:rsidRDefault="003B3DE9" w:rsidP="003B3DE9">
      <w:pPr>
        <w:widowControl/>
        <w:numPr>
          <w:ilvl w:val="0"/>
          <w:numId w:val="16"/>
        </w:numPr>
        <w:autoSpaceDN/>
        <w:spacing w:line="276" w:lineRule="auto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t>Rzeczoznawca majątkowy jest uprawniony do zapoznania się z dokumentami prowadzonych postępowań w zakresie, jaki jest niezbędny do przygotowania opinii w formie operatów szacunkowych.</w:t>
      </w:r>
    </w:p>
    <w:p w:rsidR="003B3DE9" w:rsidRPr="003B3DE9" w:rsidRDefault="003B3DE9" w:rsidP="003B3DE9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3B3DE9" w:rsidRPr="003B3DE9" w:rsidRDefault="003B3DE9" w:rsidP="003B3DE9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3B3DE9" w:rsidRPr="003B3DE9" w:rsidRDefault="003B3DE9" w:rsidP="003B3DE9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ofercie wykonawca winien określić oddzielnie cenę jednostkową każdego wymienionego typu operatu szacunkowego. </w:t>
      </w:r>
    </w:p>
    <w:p w:rsidR="003B3DE9" w:rsidRPr="003B3DE9" w:rsidRDefault="003B3DE9" w:rsidP="003B3DE9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Najkorzystniejszą ofertą będzie ta, w której suma poszczególnych cen jednostkowych jest najniższa. </w:t>
      </w:r>
    </w:p>
    <w:p w:rsidR="003B3DE9" w:rsidRPr="003B3DE9" w:rsidRDefault="003B3DE9" w:rsidP="003B3DE9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Należność za wykonane zlecenie będzie iloczynem ceny jednostkowej i ilości poszczególnych typów operatów szacunkowych. </w:t>
      </w:r>
    </w:p>
    <w:p w:rsidR="003B3DE9" w:rsidRPr="003B3DE9" w:rsidRDefault="003B3DE9" w:rsidP="003B3DE9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lastRenderedPageBreak/>
        <w:t xml:space="preserve">Zlecenia będą dokonywane sukcesywnie przez Wydział Gospodarki Nieruchomościami, stąd dopuszczenie wystawiania faktur cząstkowych za poszczególne etapy prac wykonanych                        </w:t>
      </w: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w terminach wynikających ze zlecenia.</w:t>
      </w:r>
    </w:p>
    <w:p w:rsidR="003B3DE9" w:rsidRDefault="003B3DE9" w:rsidP="00521DD5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b/>
          <w:i/>
          <w:sz w:val="22"/>
          <w:szCs w:val="22"/>
          <w:lang w:bidi="ar-SA"/>
        </w:rPr>
      </w:pPr>
    </w:p>
    <w:p w:rsidR="003B3DE9" w:rsidRPr="003B3DE9" w:rsidRDefault="003B3DE9" w:rsidP="003B3DE9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3B3DE9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Szczegółowe informacje udzielane są w Wydziale Gospodarki Nieruchomościami w pokoju nr 1.25 przy ul. Bolesława Wstydliwego 14, tel. (18) 26-10-782,  tel. (18) 26-10-783. Pracownik prowadzący: Pani  Teresa Pilch-Wójcik.</w:t>
      </w:r>
    </w:p>
    <w:p w:rsidR="003B3DE9" w:rsidRPr="003B3DE9" w:rsidRDefault="003B3DE9" w:rsidP="003B3DE9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3B3DE9" w:rsidRPr="003B3DE9" w:rsidRDefault="003B3DE9" w:rsidP="003B3DE9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Uwaga!: Rozliczenie płatności wynikające z zawartej umowy nastąpi za pośrednictwem metody p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dzielnej płatności na podst. art. 108a ustawy z dnia 11 marca 2004 r. o podatku od towarów i usług (Dz. U. z 2018 r, poz. 2174 z </w:t>
      </w:r>
      <w:proofErr w:type="spellStart"/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późn</w:t>
      </w:r>
      <w:proofErr w:type="spellEnd"/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zm.).</w:t>
      </w:r>
    </w:p>
    <w:p w:rsidR="003B3DE9" w:rsidRPr="003B3DE9" w:rsidRDefault="003B3DE9" w:rsidP="003B3DE9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521DD5" w:rsidRPr="00521DD5" w:rsidRDefault="00521DD5" w:rsidP="00521DD5">
      <w:pPr>
        <w:widowControl/>
        <w:tabs>
          <w:tab w:val="left" w:pos="426"/>
        </w:tabs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3B3DE9" w:rsidRPr="003B3DE9" w:rsidRDefault="003B3DE9" w:rsidP="003B3DE9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zgodnie z zawartą umową -  4 tygodnie od otrzymania zlecenia dla poszczególnego zlecenia. </w:t>
      </w:r>
    </w:p>
    <w:p w:rsidR="003B3DE9" w:rsidRPr="003B3DE9" w:rsidRDefault="003B3DE9" w:rsidP="003B3DE9">
      <w:pPr>
        <w:widowControl/>
        <w:autoSpaceDN/>
        <w:spacing w:line="276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Termin oddania wszystkich opracowań nie może przekroczyć: 30 listopada 2023 r.</w:t>
      </w:r>
    </w:p>
    <w:p w:rsidR="00123A1B" w:rsidRPr="003B3DE9" w:rsidRDefault="003B3DE9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</w: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9638AB" w:rsidRPr="00915DA4" w:rsidRDefault="009638AB" w:rsidP="009638AB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Cena jednostkowa dotyczy operatu szacunkowego wyceny nieruchomości (jedna księga wieczysta lub jednolite władanie) obejmującej działki położone w jednym kompleksie, dla następujących przypadków:</w:t>
      </w:r>
    </w:p>
    <w:p w:rsidR="00123A1B" w:rsidRDefault="00912A2B">
      <w:pPr>
        <w:pStyle w:val="Standard"/>
        <w:suppressAutoHyphens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1)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 bez ograniczonych praw rzeczowych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2)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z ograniczonymi prawami rzeczowymi: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3)</w:t>
      </w:r>
    </w:p>
    <w:p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bez ograniczonych praw rzeczowych: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4)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z ograniczonymi prawami rzeczowymi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lastRenderedPageBreak/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lang w:eastAsia="pl-PL"/>
        </w:rPr>
        <w:t xml:space="preserve">Suma poszczególnych cen </w:t>
      </w:r>
      <w:r>
        <w:rPr>
          <w:rFonts w:ascii="Calibri" w:hAnsi="Calibri" w:cs="Calibri"/>
          <w:b/>
          <w:lang w:eastAsia="pl-PL"/>
        </w:rPr>
        <w:t>jednostkowych</w:t>
      </w:r>
      <w:r>
        <w:rPr>
          <w:rFonts w:ascii="Calibri" w:hAnsi="Calibri" w:cs="Calibri"/>
          <w:b/>
          <w:iCs/>
          <w:spacing w:val="-1"/>
          <w:lang w:eastAsia="pl-PL"/>
        </w:rPr>
        <w:t xml:space="preserve"> brutto (1+2+3+4)</w:t>
      </w:r>
      <w:r>
        <w:rPr>
          <w:rFonts w:ascii="Calibri" w:hAnsi="Calibri" w:cs="Calibri"/>
          <w:b/>
          <w:lang w:eastAsia="pl-PL"/>
        </w:rPr>
        <w:t xml:space="preserve"> dotyczących każdego wymi</w:t>
      </w:r>
      <w:r>
        <w:rPr>
          <w:rFonts w:ascii="Calibri" w:hAnsi="Calibri" w:cs="Calibri"/>
          <w:b/>
          <w:lang w:eastAsia="pl-PL"/>
        </w:rPr>
        <w:t>e</w:t>
      </w:r>
      <w:r>
        <w:rPr>
          <w:rFonts w:ascii="Calibri" w:hAnsi="Calibri" w:cs="Calibri"/>
          <w:b/>
          <w:lang w:eastAsia="pl-PL"/>
        </w:rPr>
        <w:t>nionego typu operatu szacunkowego: ……………………………………………………</w:t>
      </w:r>
      <w:r>
        <w:rPr>
          <w:rFonts w:ascii="Calibri" w:hAnsi="Calibri" w:cs="Calibri"/>
          <w:b/>
          <w:iCs/>
          <w:lang w:eastAsia="pl-PL"/>
        </w:rPr>
        <w:t xml:space="preserve">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/słownie/..............................................................................................................................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  <w:bookmarkStart w:id="0" w:name="_GoBack"/>
      <w:bookmarkEnd w:id="0"/>
    </w:p>
    <w:p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:rsidR="003B3DE9" w:rsidRPr="005F4148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e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ciwdziałania wspieraniu agresji na Ukrainę oraz służących ochronie bezpiecze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ń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123A1B"/>
    <w:rsid w:val="003B3DE9"/>
    <w:rsid w:val="00521DD5"/>
    <w:rsid w:val="005B0DA0"/>
    <w:rsid w:val="00625920"/>
    <w:rsid w:val="0063366A"/>
    <w:rsid w:val="006D0D92"/>
    <w:rsid w:val="009058D9"/>
    <w:rsid w:val="00912A2B"/>
    <w:rsid w:val="009638AB"/>
    <w:rsid w:val="00996D7C"/>
    <w:rsid w:val="00A213B6"/>
    <w:rsid w:val="00A56719"/>
    <w:rsid w:val="00A72475"/>
    <w:rsid w:val="00AC6747"/>
    <w:rsid w:val="00C453A5"/>
    <w:rsid w:val="00C67582"/>
    <w:rsid w:val="00E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14</cp:revision>
  <cp:lastPrinted>2019-07-29T14:48:00Z</cp:lastPrinted>
  <dcterms:created xsi:type="dcterms:W3CDTF">2008-10-03T10:05:00Z</dcterms:created>
  <dcterms:modified xsi:type="dcterms:W3CDTF">2023-01-23T08:51:00Z</dcterms:modified>
</cp:coreProperties>
</file>