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9190" w14:textId="77777777" w:rsidR="004B396F" w:rsidRPr="00831E90" w:rsidRDefault="004B396F" w:rsidP="000610FC">
      <w:pPr>
        <w:autoSpaceDE w:val="0"/>
        <w:autoSpaceDN w:val="0"/>
        <w:adjustRightInd w:val="0"/>
        <w:spacing w:after="0" w:line="240" w:lineRule="auto"/>
        <w:ind w:left="2124" w:firstLine="708"/>
        <w:jc w:val="both"/>
        <w:rPr>
          <w:rFonts w:cstheme="minorHAnsi"/>
          <w:b/>
        </w:rPr>
      </w:pPr>
    </w:p>
    <w:p w14:paraId="171D129D" w14:textId="77777777" w:rsidR="004C4624" w:rsidRPr="00831E90" w:rsidRDefault="004C4624" w:rsidP="000610FC">
      <w:pPr>
        <w:autoSpaceDE w:val="0"/>
        <w:autoSpaceDN w:val="0"/>
        <w:adjustRightInd w:val="0"/>
        <w:spacing w:after="0" w:line="240" w:lineRule="auto"/>
        <w:ind w:left="2124" w:firstLine="708"/>
        <w:jc w:val="both"/>
        <w:rPr>
          <w:rFonts w:cstheme="minorHAnsi"/>
          <w:b/>
        </w:rPr>
      </w:pPr>
      <w:r w:rsidRPr="00831E90">
        <w:rPr>
          <w:rFonts w:cstheme="minorHAnsi"/>
          <w:b/>
        </w:rPr>
        <w:t>Opis przedmiotu zamówienia</w:t>
      </w:r>
    </w:p>
    <w:p w14:paraId="515FC795" w14:textId="77777777" w:rsidR="004C4624" w:rsidRPr="00831E90" w:rsidRDefault="004C4624" w:rsidP="000610FC">
      <w:pPr>
        <w:autoSpaceDE w:val="0"/>
        <w:autoSpaceDN w:val="0"/>
        <w:adjustRightInd w:val="0"/>
        <w:spacing w:after="0" w:line="240" w:lineRule="auto"/>
        <w:ind w:left="2124" w:firstLine="708"/>
        <w:jc w:val="both"/>
        <w:rPr>
          <w:rFonts w:cstheme="minorHAnsi"/>
        </w:rPr>
      </w:pPr>
    </w:p>
    <w:p w14:paraId="627881F5" w14:textId="77777777" w:rsidR="004B396F" w:rsidRPr="00831E90" w:rsidRDefault="004B396F" w:rsidP="000610FC">
      <w:pPr>
        <w:autoSpaceDE w:val="0"/>
        <w:autoSpaceDN w:val="0"/>
        <w:adjustRightInd w:val="0"/>
        <w:spacing w:after="0" w:line="240" w:lineRule="auto"/>
        <w:jc w:val="both"/>
        <w:rPr>
          <w:rFonts w:cstheme="minorHAnsi"/>
          <w:b/>
        </w:rPr>
      </w:pPr>
    </w:p>
    <w:p w14:paraId="441E843F" w14:textId="77777777" w:rsidR="004B396F" w:rsidRPr="00831E90" w:rsidRDefault="004B396F" w:rsidP="000610FC">
      <w:pPr>
        <w:autoSpaceDE w:val="0"/>
        <w:autoSpaceDN w:val="0"/>
        <w:adjustRightInd w:val="0"/>
        <w:spacing w:after="0" w:line="240" w:lineRule="auto"/>
        <w:jc w:val="both"/>
        <w:rPr>
          <w:rFonts w:cstheme="minorHAnsi"/>
          <w:b/>
        </w:rPr>
      </w:pPr>
    </w:p>
    <w:p w14:paraId="61C44278" w14:textId="77777777" w:rsidR="004B396F" w:rsidRPr="00831E90" w:rsidRDefault="004B396F" w:rsidP="000610FC">
      <w:pPr>
        <w:autoSpaceDE w:val="0"/>
        <w:autoSpaceDN w:val="0"/>
        <w:adjustRightInd w:val="0"/>
        <w:spacing w:after="0" w:line="240" w:lineRule="auto"/>
        <w:jc w:val="both"/>
        <w:rPr>
          <w:rFonts w:cstheme="minorHAnsi"/>
          <w:b/>
        </w:rPr>
      </w:pPr>
    </w:p>
    <w:p w14:paraId="4136F0C7" w14:textId="77777777" w:rsidR="004C4624" w:rsidRPr="00831E90" w:rsidRDefault="004C4624" w:rsidP="000610FC">
      <w:pPr>
        <w:autoSpaceDE w:val="0"/>
        <w:autoSpaceDN w:val="0"/>
        <w:adjustRightInd w:val="0"/>
        <w:spacing w:after="0" w:line="240" w:lineRule="auto"/>
        <w:jc w:val="both"/>
        <w:rPr>
          <w:rFonts w:cstheme="minorHAnsi"/>
          <w:b/>
        </w:rPr>
      </w:pPr>
      <w:r w:rsidRPr="00831E90">
        <w:rPr>
          <w:rFonts w:cstheme="minorHAnsi"/>
          <w:b/>
        </w:rPr>
        <w:t>1. Przedmiot zamówienia:</w:t>
      </w:r>
    </w:p>
    <w:p w14:paraId="73BFCD71" w14:textId="77777777" w:rsidR="004C4624" w:rsidRPr="00831E90" w:rsidRDefault="004C4624" w:rsidP="000610FC">
      <w:pPr>
        <w:autoSpaceDE w:val="0"/>
        <w:autoSpaceDN w:val="0"/>
        <w:adjustRightInd w:val="0"/>
        <w:spacing w:after="0" w:line="240" w:lineRule="auto"/>
        <w:jc w:val="both"/>
        <w:rPr>
          <w:rFonts w:cstheme="minorHAnsi"/>
        </w:rPr>
      </w:pPr>
    </w:p>
    <w:p w14:paraId="20396F60" w14:textId="6041E47C" w:rsidR="004C4624" w:rsidRPr="00831E90" w:rsidRDefault="004C4624" w:rsidP="000610FC">
      <w:pPr>
        <w:autoSpaceDE w:val="0"/>
        <w:autoSpaceDN w:val="0"/>
        <w:adjustRightInd w:val="0"/>
        <w:spacing w:after="0" w:line="240" w:lineRule="auto"/>
        <w:jc w:val="both"/>
        <w:rPr>
          <w:rFonts w:cstheme="minorHAnsi"/>
        </w:rPr>
      </w:pPr>
      <w:r w:rsidRPr="00831E90">
        <w:rPr>
          <w:rFonts w:cstheme="minorHAnsi"/>
        </w:rPr>
        <w:t>Przedmiotem zamówienia jest wykonanie</w:t>
      </w:r>
      <w:r w:rsidR="00CF465E" w:rsidRPr="00831E90">
        <w:rPr>
          <w:rFonts w:cstheme="minorHAnsi"/>
        </w:rPr>
        <w:t xml:space="preserve"> ekspertyzy techniczno-balistycznej</w:t>
      </w:r>
      <w:r w:rsidRPr="00831E90">
        <w:rPr>
          <w:rFonts w:cstheme="minorHAnsi"/>
        </w:rPr>
        <w:t>:</w:t>
      </w:r>
      <w:r w:rsidR="00CF465E" w:rsidRPr="00831E90">
        <w:rPr>
          <w:rFonts w:cstheme="minorHAnsi"/>
        </w:rPr>
        <w:t xml:space="preserve"> </w:t>
      </w:r>
      <w:r w:rsidRPr="00831E90">
        <w:rPr>
          <w:rFonts w:cstheme="minorHAnsi"/>
        </w:rPr>
        <w:t>„</w:t>
      </w:r>
      <w:r w:rsidR="00CF465E" w:rsidRPr="00831E90">
        <w:rPr>
          <w:rFonts w:cstheme="minorHAnsi"/>
        </w:rPr>
        <w:t>O</w:t>
      </w:r>
      <w:r w:rsidRPr="00831E90">
        <w:rPr>
          <w:rFonts w:cstheme="minorHAnsi"/>
        </w:rPr>
        <w:t>cena stanu</w:t>
      </w:r>
      <w:r w:rsidR="000912B6" w:rsidRPr="00831E90">
        <w:rPr>
          <w:rFonts w:cstheme="minorHAnsi"/>
        </w:rPr>
        <w:t xml:space="preserve"> </w:t>
      </w:r>
      <w:r w:rsidRPr="00831E90">
        <w:rPr>
          <w:rFonts w:cstheme="minorHAnsi"/>
        </w:rPr>
        <w:t xml:space="preserve">technicznego </w:t>
      </w:r>
      <w:r w:rsidR="00CF465E" w:rsidRPr="00831E90">
        <w:rPr>
          <w:rFonts w:cstheme="minorHAnsi"/>
        </w:rPr>
        <w:t>kompleksu strzel</w:t>
      </w:r>
      <w:r w:rsidR="00EA0199">
        <w:rPr>
          <w:rFonts w:cstheme="minorHAnsi"/>
        </w:rPr>
        <w:t>nic</w:t>
      </w:r>
      <w:bookmarkStart w:id="0" w:name="_GoBack"/>
      <w:bookmarkEnd w:id="0"/>
      <w:r w:rsidR="00CF465E" w:rsidRPr="00831E90">
        <w:rPr>
          <w:rFonts w:cstheme="minorHAnsi"/>
        </w:rPr>
        <w:t xml:space="preserve"> krytych </w:t>
      </w:r>
      <w:r w:rsidR="000912B6" w:rsidRPr="00831E90">
        <w:rPr>
          <w:rFonts w:cstheme="minorHAnsi"/>
        </w:rPr>
        <w:t xml:space="preserve">Akademii </w:t>
      </w:r>
      <w:r w:rsidRPr="00831E90">
        <w:rPr>
          <w:rFonts w:cstheme="minorHAnsi"/>
        </w:rPr>
        <w:t>Policji</w:t>
      </w:r>
      <w:r w:rsidR="000912B6" w:rsidRPr="00831E90">
        <w:rPr>
          <w:rFonts w:cstheme="minorHAnsi"/>
        </w:rPr>
        <w:t xml:space="preserve"> w Szczytnie</w:t>
      </w:r>
      <w:r w:rsidRPr="00831E90">
        <w:rPr>
          <w:rFonts w:cstheme="minorHAnsi"/>
        </w:rPr>
        <w:t xml:space="preserve"> wraz z opinią w zakresie</w:t>
      </w:r>
      <w:r w:rsidR="000912B6" w:rsidRPr="00831E90">
        <w:rPr>
          <w:rFonts w:cstheme="minorHAnsi"/>
        </w:rPr>
        <w:t xml:space="preserve"> </w:t>
      </w:r>
      <w:r w:rsidRPr="00831E90">
        <w:rPr>
          <w:rFonts w:cstheme="minorHAnsi"/>
        </w:rPr>
        <w:t>możliwości ich użytkowania oraz opracowanie zakresu prac niezbędnych do dostosowani</w:t>
      </w:r>
      <w:r w:rsidR="00FB1F59" w:rsidRPr="00831E90">
        <w:rPr>
          <w:rFonts w:cstheme="minorHAnsi"/>
        </w:rPr>
        <w:t>a</w:t>
      </w:r>
      <w:r w:rsidR="000912B6" w:rsidRPr="00831E90">
        <w:rPr>
          <w:rFonts w:cstheme="minorHAnsi"/>
        </w:rPr>
        <w:t xml:space="preserve">  </w:t>
      </w:r>
      <w:r w:rsidRPr="00831E90">
        <w:rPr>
          <w:rFonts w:cstheme="minorHAnsi"/>
        </w:rPr>
        <w:t>tych obiektów do obowiązujących przepisów”, w odniesieniu do § 36 ust. 1 i 2</w:t>
      </w:r>
      <w:r w:rsidR="000912B6" w:rsidRPr="00831E90">
        <w:rPr>
          <w:rFonts w:cstheme="minorHAnsi"/>
        </w:rPr>
        <w:t xml:space="preserve"> </w:t>
      </w:r>
      <w:r w:rsidRPr="00831E90">
        <w:rPr>
          <w:rFonts w:cstheme="minorHAnsi"/>
        </w:rPr>
        <w:t>Rozporządzenia Ministra Spraw Wewnętrznych i Administracji w sprawie warunków</w:t>
      </w:r>
      <w:r w:rsidR="000912B6" w:rsidRPr="00831E90">
        <w:rPr>
          <w:rFonts w:cstheme="minorHAnsi"/>
        </w:rPr>
        <w:t xml:space="preserve"> </w:t>
      </w:r>
      <w:r w:rsidRPr="00831E90">
        <w:rPr>
          <w:rFonts w:cstheme="minorHAnsi"/>
        </w:rPr>
        <w:t>technicznych jakim powinny odpowiadać strzelnice kryte Policji, Straży Granicznej i Służby</w:t>
      </w:r>
      <w:r w:rsidR="000912B6" w:rsidRPr="00831E90">
        <w:rPr>
          <w:rFonts w:cstheme="minorHAnsi"/>
        </w:rPr>
        <w:t xml:space="preserve"> </w:t>
      </w:r>
      <w:r w:rsidRPr="00831E90">
        <w:rPr>
          <w:rFonts w:cstheme="minorHAnsi"/>
        </w:rPr>
        <w:t>Ochrony Państwa oraz ich usytuowanie (Dz. U. z 2022 r. poz. 848)</w:t>
      </w:r>
      <w:r w:rsidR="00CF465E" w:rsidRPr="00831E90">
        <w:rPr>
          <w:rFonts w:cstheme="minorHAnsi"/>
        </w:rPr>
        <w:t xml:space="preserve">. </w:t>
      </w:r>
    </w:p>
    <w:p w14:paraId="56726B26" w14:textId="77777777" w:rsidR="004C4624" w:rsidRPr="00831E90" w:rsidRDefault="004C4624" w:rsidP="000610FC">
      <w:pPr>
        <w:autoSpaceDE w:val="0"/>
        <w:autoSpaceDN w:val="0"/>
        <w:adjustRightInd w:val="0"/>
        <w:spacing w:after="0" w:line="240" w:lineRule="auto"/>
        <w:jc w:val="both"/>
        <w:rPr>
          <w:rFonts w:cstheme="minorHAnsi"/>
          <w:b/>
        </w:rPr>
      </w:pPr>
    </w:p>
    <w:p w14:paraId="7E857043" w14:textId="77777777" w:rsidR="004C4624" w:rsidRPr="00831E90" w:rsidRDefault="004C4624" w:rsidP="000610FC">
      <w:pPr>
        <w:autoSpaceDE w:val="0"/>
        <w:autoSpaceDN w:val="0"/>
        <w:adjustRightInd w:val="0"/>
        <w:spacing w:after="0" w:line="240" w:lineRule="auto"/>
        <w:jc w:val="both"/>
        <w:rPr>
          <w:rFonts w:cstheme="minorHAnsi"/>
          <w:b/>
        </w:rPr>
      </w:pPr>
      <w:r w:rsidRPr="00831E90">
        <w:rPr>
          <w:rFonts w:cstheme="minorHAnsi"/>
          <w:b/>
        </w:rPr>
        <w:t>2. Zakres przedmiotu zamówienia:</w:t>
      </w:r>
    </w:p>
    <w:p w14:paraId="6030A3EA" w14:textId="77777777" w:rsidR="004C4624" w:rsidRPr="00831E90" w:rsidRDefault="004C4624" w:rsidP="000610FC">
      <w:pPr>
        <w:autoSpaceDE w:val="0"/>
        <w:autoSpaceDN w:val="0"/>
        <w:adjustRightInd w:val="0"/>
        <w:spacing w:after="0" w:line="240" w:lineRule="auto"/>
        <w:jc w:val="both"/>
        <w:rPr>
          <w:rFonts w:cstheme="minorHAnsi"/>
        </w:rPr>
      </w:pPr>
    </w:p>
    <w:p w14:paraId="450D1F4D" w14:textId="77777777" w:rsidR="004C4624" w:rsidRPr="00831E90" w:rsidRDefault="004C4624" w:rsidP="000610FC">
      <w:pPr>
        <w:autoSpaceDE w:val="0"/>
        <w:autoSpaceDN w:val="0"/>
        <w:adjustRightInd w:val="0"/>
        <w:spacing w:after="0" w:line="240" w:lineRule="auto"/>
        <w:jc w:val="both"/>
        <w:rPr>
          <w:rFonts w:cstheme="minorHAnsi"/>
        </w:rPr>
      </w:pPr>
      <w:r w:rsidRPr="00831E90">
        <w:rPr>
          <w:rFonts w:cstheme="minorHAnsi"/>
        </w:rPr>
        <w:t>1</w:t>
      </w:r>
      <w:r w:rsidRPr="00831E90">
        <w:rPr>
          <w:rFonts w:cstheme="minorHAnsi"/>
          <w:color w:val="000000" w:themeColor="text1"/>
        </w:rPr>
        <w:t xml:space="preserve">) dla </w:t>
      </w:r>
      <w:r w:rsidR="00291AC8" w:rsidRPr="00831E90">
        <w:rPr>
          <w:rFonts w:cstheme="minorHAnsi"/>
          <w:color w:val="000000" w:themeColor="text1"/>
        </w:rPr>
        <w:t>kompleksu</w:t>
      </w:r>
      <w:r w:rsidR="00604418" w:rsidRPr="00831E90">
        <w:rPr>
          <w:rFonts w:cstheme="minorHAnsi"/>
          <w:color w:val="000000" w:themeColor="text1"/>
        </w:rPr>
        <w:t xml:space="preserve"> strzelnic krytych, w ramach których funkcjonują cztery </w:t>
      </w:r>
      <w:r w:rsidR="006E61E9" w:rsidRPr="00831E90">
        <w:rPr>
          <w:rFonts w:cstheme="minorHAnsi"/>
          <w:color w:val="000000" w:themeColor="text1"/>
        </w:rPr>
        <w:t>szerokoprzestrzenne</w:t>
      </w:r>
      <w:r w:rsidR="00604418" w:rsidRPr="00831E90">
        <w:rPr>
          <w:rFonts w:cstheme="minorHAnsi"/>
          <w:color w:val="000000" w:themeColor="text1"/>
        </w:rPr>
        <w:t xml:space="preserve"> osie strzeleckie </w:t>
      </w:r>
      <w:r w:rsidR="006E61E9" w:rsidRPr="00831E90">
        <w:rPr>
          <w:rFonts w:cstheme="minorHAnsi"/>
          <w:color w:val="000000" w:themeColor="text1"/>
        </w:rPr>
        <w:t>o zmiennej linii ognia</w:t>
      </w:r>
      <w:r w:rsidR="00604418" w:rsidRPr="00831E90">
        <w:rPr>
          <w:rFonts w:cstheme="minorHAnsi"/>
        </w:rPr>
        <w:t>,</w:t>
      </w:r>
      <w:r w:rsidR="006E61E9" w:rsidRPr="00831E90">
        <w:rPr>
          <w:rFonts w:cstheme="minorHAnsi"/>
        </w:rPr>
        <w:t xml:space="preserve"> </w:t>
      </w:r>
      <w:r w:rsidRPr="00831E90">
        <w:rPr>
          <w:rFonts w:cstheme="minorHAnsi"/>
        </w:rPr>
        <w:t>zlokalizowa</w:t>
      </w:r>
      <w:r w:rsidR="000912B6" w:rsidRPr="00831E90">
        <w:rPr>
          <w:rFonts w:cstheme="minorHAnsi"/>
        </w:rPr>
        <w:t>ne</w:t>
      </w:r>
      <w:r w:rsidR="00604418" w:rsidRPr="00831E90">
        <w:rPr>
          <w:rFonts w:cstheme="minorHAnsi"/>
        </w:rPr>
        <w:t>go</w:t>
      </w:r>
      <w:r w:rsidRPr="00831E90">
        <w:rPr>
          <w:rFonts w:cstheme="minorHAnsi"/>
        </w:rPr>
        <w:t xml:space="preserve"> w </w:t>
      </w:r>
      <w:r w:rsidR="000912B6" w:rsidRPr="00831E90">
        <w:rPr>
          <w:rFonts w:cstheme="minorHAnsi"/>
        </w:rPr>
        <w:t>Akademii</w:t>
      </w:r>
      <w:r w:rsidRPr="00831E90">
        <w:rPr>
          <w:rFonts w:cstheme="minorHAnsi"/>
        </w:rPr>
        <w:t xml:space="preserve"> Policji</w:t>
      </w:r>
      <w:r w:rsidR="000912B6" w:rsidRPr="00831E90">
        <w:rPr>
          <w:rFonts w:cstheme="minorHAnsi"/>
        </w:rPr>
        <w:t xml:space="preserve"> w Szczytnie przy ul. Marszałka Józefa Piłsudskiego 111</w:t>
      </w:r>
      <w:r w:rsidRPr="00831E90">
        <w:rPr>
          <w:rFonts w:cstheme="minorHAnsi"/>
        </w:rPr>
        <w:t>:</w:t>
      </w:r>
    </w:p>
    <w:p w14:paraId="237697E7" w14:textId="77777777" w:rsidR="004C4624" w:rsidRPr="00831E90" w:rsidRDefault="004C4624" w:rsidP="000610FC">
      <w:pPr>
        <w:autoSpaceDE w:val="0"/>
        <w:autoSpaceDN w:val="0"/>
        <w:adjustRightInd w:val="0"/>
        <w:spacing w:after="0" w:line="240" w:lineRule="auto"/>
        <w:jc w:val="both"/>
        <w:rPr>
          <w:rFonts w:cstheme="minorHAnsi"/>
        </w:rPr>
      </w:pPr>
      <w:r w:rsidRPr="00831E90">
        <w:rPr>
          <w:rFonts w:cstheme="minorHAnsi"/>
        </w:rPr>
        <w:t>a) dokonanie wizji lokalnej,</w:t>
      </w:r>
    </w:p>
    <w:p w14:paraId="17AE44F9" w14:textId="77777777" w:rsidR="004C4624" w:rsidRPr="00831E90" w:rsidRDefault="004C4624" w:rsidP="000610FC">
      <w:pPr>
        <w:autoSpaceDE w:val="0"/>
        <w:autoSpaceDN w:val="0"/>
        <w:adjustRightInd w:val="0"/>
        <w:spacing w:after="0" w:line="240" w:lineRule="auto"/>
        <w:jc w:val="both"/>
        <w:rPr>
          <w:rFonts w:cstheme="minorHAnsi"/>
        </w:rPr>
      </w:pPr>
      <w:r w:rsidRPr="00831E90">
        <w:rPr>
          <w:rFonts w:cstheme="minorHAnsi"/>
        </w:rPr>
        <w:t>b) przeprowadzenie oceny stanu technicznego instalacji i urządzeń strzelnic</w:t>
      </w:r>
      <w:r w:rsidR="000912B6" w:rsidRPr="00831E90">
        <w:rPr>
          <w:rFonts w:cstheme="minorHAnsi"/>
        </w:rPr>
        <w:t xml:space="preserve">y </w:t>
      </w:r>
      <w:r w:rsidRPr="00831E90">
        <w:rPr>
          <w:rFonts w:cstheme="minorHAnsi"/>
        </w:rPr>
        <w:t>z uwzględnieniem poziomu bezpieczeństwa prowadzenia strzelań zgodnie z § 36</w:t>
      </w:r>
      <w:r w:rsidR="000912B6" w:rsidRPr="00831E90">
        <w:rPr>
          <w:rFonts w:cstheme="minorHAnsi"/>
        </w:rPr>
        <w:t xml:space="preserve"> </w:t>
      </w:r>
      <w:r w:rsidRPr="00831E90">
        <w:rPr>
          <w:rFonts w:cstheme="minorHAnsi"/>
        </w:rPr>
        <w:t>ust. 1 Rozporządzenia Ministra Spraw Wewnętrznych i Administracji w sprawie</w:t>
      </w:r>
      <w:r w:rsidR="000912B6" w:rsidRPr="00831E90">
        <w:rPr>
          <w:rFonts w:cstheme="minorHAnsi"/>
        </w:rPr>
        <w:t xml:space="preserve"> </w:t>
      </w:r>
      <w:r w:rsidRPr="00831E90">
        <w:rPr>
          <w:rFonts w:cstheme="minorHAnsi"/>
        </w:rPr>
        <w:t>warunków technicznych jakim powinny odpowiadać strzelnice kryte Policji, Straży</w:t>
      </w:r>
      <w:r w:rsidR="000912B6" w:rsidRPr="00831E90">
        <w:rPr>
          <w:rFonts w:cstheme="minorHAnsi"/>
        </w:rPr>
        <w:t xml:space="preserve"> </w:t>
      </w:r>
      <w:r w:rsidRPr="00831E90">
        <w:rPr>
          <w:rFonts w:cstheme="minorHAnsi"/>
        </w:rPr>
        <w:t>Granicznej i Służby Ochrony Państwa oraz ich usytuowanie (Dz. U. z 2022r.</w:t>
      </w:r>
      <w:r w:rsidR="000912B6" w:rsidRPr="00831E90">
        <w:rPr>
          <w:rFonts w:cstheme="minorHAnsi"/>
        </w:rPr>
        <w:t xml:space="preserve"> </w:t>
      </w:r>
      <w:r w:rsidRPr="00831E90">
        <w:rPr>
          <w:rFonts w:cstheme="minorHAnsi"/>
        </w:rPr>
        <w:t>poz. 848),</w:t>
      </w:r>
    </w:p>
    <w:p w14:paraId="1398C5F3" w14:textId="77777777" w:rsidR="004C4624" w:rsidRPr="00831E90" w:rsidRDefault="004C4624" w:rsidP="000610FC">
      <w:pPr>
        <w:autoSpaceDE w:val="0"/>
        <w:autoSpaceDN w:val="0"/>
        <w:adjustRightInd w:val="0"/>
        <w:spacing w:after="0" w:line="240" w:lineRule="auto"/>
        <w:jc w:val="both"/>
        <w:rPr>
          <w:rFonts w:cstheme="minorHAnsi"/>
          <w:color w:val="00B050"/>
        </w:rPr>
      </w:pPr>
      <w:r w:rsidRPr="00831E90">
        <w:rPr>
          <w:rFonts w:cstheme="minorHAnsi"/>
        </w:rPr>
        <w:t>c) wydanie opinii w zakresie możliwości użytkowania strzelnicy zgodnie z § 36 ust. 2</w:t>
      </w:r>
      <w:r w:rsidR="000912B6" w:rsidRPr="00831E90">
        <w:rPr>
          <w:rFonts w:cstheme="minorHAnsi"/>
        </w:rPr>
        <w:t xml:space="preserve"> </w:t>
      </w:r>
      <w:r w:rsidRPr="00831E90">
        <w:rPr>
          <w:rFonts w:cstheme="minorHAnsi"/>
        </w:rPr>
        <w:t>Rozporządzenia Ministra Spraw Wewnętrznych i Administracji w sprawie</w:t>
      </w:r>
      <w:r w:rsidR="000912B6" w:rsidRPr="00831E90">
        <w:rPr>
          <w:rFonts w:cstheme="minorHAnsi"/>
        </w:rPr>
        <w:t xml:space="preserve"> </w:t>
      </w:r>
      <w:r w:rsidRPr="00831E90">
        <w:rPr>
          <w:rFonts w:cstheme="minorHAnsi"/>
        </w:rPr>
        <w:t>warunków technicznych jakim powinny odpowiadać strzelnice kryte Policji, Straży</w:t>
      </w:r>
      <w:r w:rsidR="000912B6" w:rsidRPr="00831E90">
        <w:rPr>
          <w:rFonts w:cstheme="minorHAnsi"/>
        </w:rPr>
        <w:t xml:space="preserve"> </w:t>
      </w:r>
      <w:r w:rsidRPr="00831E90">
        <w:rPr>
          <w:rFonts w:cstheme="minorHAnsi"/>
        </w:rPr>
        <w:t>Granicznej i Służby Ochrony Państwa oraz ich usytuowanie (Dz. U. z 2022r.</w:t>
      </w:r>
      <w:r w:rsidR="000912B6" w:rsidRPr="00831E90">
        <w:rPr>
          <w:rFonts w:cstheme="minorHAnsi"/>
        </w:rPr>
        <w:t xml:space="preserve"> </w:t>
      </w:r>
      <w:r w:rsidRPr="00831E90">
        <w:rPr>
          <w:rFonts w:cstheme="minorHAnsi"/>
        </w:rPr>
        <w:t>poz. 848),</w:t>
      </w:r>
    </w:p>
    <w:p w14:paraId="66EEA54F" w14:textId="77777777" w:rsidR="004C4624" w:rsidRPr="00831E90" w:rsidRDefault="004C4624" w:rsidP="000610FC">
      <w:pPr>
        <w:autoSpaceDE w:val="0"/>
        <w:autoSpaceDN w:val="0"/>
        <w:adjustRightInd w:val="0"/>
        <w:spacing w:after="0" w:line="240" w:lineRule="auto"/>
        <w:jc w:val="both"/>
        <w:rPr>
          <w:rFonts w:cstheme="minorHAnsi"/>
        </w:rPr>
      </w:pPr>
      <w:r w:rsidRPr="00831E90">
        <w:rPr>
          <w:rFonts w:cstheme="minorHAnsi"/>
        </w:rPr>
        <w:t>d) opracowanie zakresu prac niezbędnych do dostosowania tych obiektów do</w:t>
      </w:r>
      <w:r w:rsidR="000912B6" w:rsidRPr="00831E90">
        <w:rPr>
          <w:rFonts w:cstheme="minorHAnsi"/>
        </w:rPr>
        <w:t xml:space="preserve"> </w:t>
      </w:r>
      <w:r w:rsidRPr="00831E90">
        <w:rPr>
          <w:rFonts w:cstheme="minorHAnsi"/>
        </w:rPr>
        <w:t>wymogów określonych w Rozporządzeniu Ministra Spraw Wewnętrznych</w:t>
      </w:r>
      <w:r w:rsidR="000912B6" w:rsidRPr="00831E90">
        <w:rPr>
          <w:rFonts w:cstheme="minorHAnsi"/>
        </w:rPr>
        <w:t xml:space="preserve"> </w:t>
      </w:r>
      <w:r w:rsidRPr="00831E90">
        <w:rPr>
          <w:rFonts w:cstheme="minorHAnsi"/>
        </w:rPr>
        <w:t>i Administracji w sprawie warunków technicznych jakim powinny odpowiadać</w:t>
      </w:r>
      <w:r w:rsidR="000912B6" w:rsidRPr="00831E90">
        <w:rPr>
          <w:rFonts w:cstheme="minorHAnsi"/>
        </w:rPr>
        <w:t xml:space="preserve"> </w:t>
      </w:r>
      <w:r w:rsidRPr="00831E90">
        <w:rPr>
          <w:rFonts w:cstheme="minorHAnsi"/>
        </w:rPr>
        <w:t>strzelnice kryte Policji, Straży Granicznej i Służby Ochrony Państwa oraz ich</w:t>
      </w:r>
      <w:r w:rsidR="000912B6" w:rsidRPr="00831E90">
        <w:rPr>
          <w:rFonts w:cstheme="minorHAnsi"/>
        </w:rPr>
        <w:t xml:space="preserve"> </w:t>
      </w:r>
      <w:r w:rsidRPr="00831E90">
        <w:rPr>
          <w:rFonts w:cstheme="minorHAnsi"/>
        </w:rPr>
        <w:t>usytuowanie (Dz. U. z 2022 r. poz. 848),</w:t>
      </w:r>
    </w:p>
    <w:p w14:paraId="6C48C414" w14:textId="77777777" w:rsidR="00FB1EA2" w:rsidRPr="00831E90" w:rsidRDefault="00FB1EA2" w:rsidP="000610FC">
      <w:pPr>
        <w:autoSpaceDE w:val="0"/>
        <w:autoSpaceDN w:val="0"/>
        <w:adjustRightInd w:val="0"/>
        <w:spacing w:after="0" w:line="240" w:lineRule="auto"/>
        <w:jc w:val="both"/>
        <w:rPr>
          <w:rFonts w:cstheme="minorHAnsi"/>
        </w:rPr>
      </w:pPr>
    </w:p>
    <w:p w14:paraId="37CFF56F" w14:textId="2D064700" w:rsidR="003160C8" w:rsidRPr="00831E90" w:rsidRDefault="00FB1EA2" w:rsidP="00FB1EA2">
      <w:pPr>
        <w:autoSpaceDE w:val="0"/>
        <w:autoSpaceDN w:val="0"/>
        <w:adjustRightInd w:val="0"/>
        <w:spacing w:after="0" w:line="240" w:lineRule="auto"/>
        <w:jc w:val="both"/>
        <w:rPr>
          <w:rFonts w:cstheme="minorHAnsi"/>
          <w:b/>
        </w:rPr>
      </w:pPr>
      <w:r w:rsidRPr="00831E90">
        <w:rPr>
          <w:rFonts w:cstheme="minorHAnsi"/>
          <w:b/>
        </w:rPr>
        <w:t xml:space="preserve">3. </w:t>
      </w:r>
      <w:r w:rsidR="003160C8" w:rsidRPr="00831E90">
        <w:rPr>
          <w:rFonts w:cstheme="minorHAnsi"/>
          <w:b/>
        </w:rPr>
        <w:t>Obowiązki Wykonawcy wobec podmiotu Zamawiającego</w:t>
      </w:r>
    </w:p>
    <w:p w14:paraId="64DEA3A3" w14:textId="77777777" w:rsidR="003160C8" w:rsidRPr="00831E90" w:rsidRDefault="003160C8" w:rsidP="00FB1EA2">
      <w:pPr>
        <w:autoSpaceDE w:val="0"/>
        <w:autoSpaceDN w:val="0"/>
        <w:adjustRightInd w:val="0"/>
        <w:spacing w:after="0" w:line="240" w:lineRule="auto"/>
        <w:jc w:val="both"/>
        <w:rPr>
          <w:rFonts w:cstheme="minorHAnsi"/>
          <w:b/>
        </w:rPr>
      </w:pPr>
    </w:p>
    <w:p w14:paraId="60DCEC3B" w14:textId="0E62CB14"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Wykonawca przed złożeniem oferty powinien zapoznać się szczegółowo z terenem oraz warunkami, w jakich przyjdzie mu zrealizować przedmiot zamówienia. Wszelkie utrudnienia wynikające z warunków realizacji przedmiotu zamówienia należy uwzględnić w cenie podanej    w ofercie.</w:t>
      </w:r>
    </w:p>
    <w:p w14:paraId="684B8CF1" w14:textId="055714EC"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 xml:space="preserve">Wykonawca zabezpieczy we własnym zakresie i na własny koszt, wszystkie materiały niezbędne do prawidłowej realizacji przedmiotu zamówienia, w tym w szczególności opinie, badania i pomiary. </w:t>
      </w:r>
    </w:p>
    <w:p w14:paraId="356AE3E0" w14:textId="79A62362"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 xml:space="preserve">Wykonawca dla wypełnienia swoich zobowiązań powinien zapewnić doświadczone i wykwalifikowane osoby zdolne do prowadzenia wszelkich powierzonych zadań oraz posiadającymi odpowiednie uprawnienia do wykonania ekspertyzy w zakresie niezbędnym do prawidłowego zrealizowania całości przedmiotu zamówienia, zgodnie z obowiązującymi </w:t>
      </w:r>
      <w:r w:rsidRPr="00831E90">
        <w:rPr>
          <w:rFonts w:cstheme="minorHAnsi"/>
        </w:rPr>
        <w:lastRenderedPageBreak/>
        <w:t>przepisami prawa i w zgodzie z postanowieniami odpowiednich decyzji, uzgodnieniami i opiniami, warunkującymi prawidłową realizację zamówienia.</w:t>
      </w:r>
    </w:p>
    <w:p w14:paraId="14E45A57" w14:textId="634B7D0F"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Przedmiot zamówienia tj. ekspertyza opracowana przez Wykonawcę w ramach zawartej umowy będzie wykorzystana przez Zamawiającego do przeprowadzenia postępowania w sprawie udzielenia zamówienia publicznego na wykonanie projektu budowlanego i zostanie opublikowana na stronie internetowej Zamawiającego, jako część składowa Specyfikacji Warunków Zamówienia, zgodnie z obowiązującymi przepisami prawa. W związku z powyższym Zamawiający wymagać będzie, aby Wykonawca ekspertyzy określił właściwości urządzeń i materiałów za pomocą cech technicznych i jakościowych, przy przestrzeganiu Polskich Norm przenoszących europejskie normy zharmonizowane (bez podania znaków towarowych, patentów lub pochodzenia) w sposób zgodny z przepisami ustawy - Prawo zamówień publicznych oraz ustawy z dnia 16 kwietnia 1993r. o zwalczaniu nieuczciwej konkurencji (</w:t>
      </w:r>
      <w:proofErr w:type="spellStart"/>
      <w:r w:rsidRPr="00831E90">
        <w:rPr>
          <w:rFonts w:cstheme="minorHAnsi"/>
        </w:rPr>
        <w:t>Dz.U.Nr</w:t>
      </w:r>
      <w:proofErr w:type="spellEnd"/>
      <w:r w:rsidRPr="00831E90">
        <w:rPr>
          <w:rFonts w:cstheme="minorHAnsi"/>
        </w:rPr>
        <w:t xml:space="preserve"> 47, poz.211).</w:t>
      </w:r>
    </w:p>
    <w:p w14:paraId="176A692A" w14:textId="77777777"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Jeżeli nie można opisać elementów przedmiotu zamówienia za pomocą dostatecznie dokładnych określeń bez wskazywania pochodzenia lub znaków towarowych, wówczas wskazaniu takiemu muszą towarzyszyć wyrazy „lub równoważny” wraz z określeniem, co rozumie się pod pojęciem „równoważny”, aby nie było wątpliwości, jaki produkt będzie uważany za spełniający wymagania równoważności z produktem wymienionym w dokumentacji ze wskazaniem znaku towarowego.</w:t>
      </w:r>
    </w:p>
    <w:p w14:paraId="68513484" w14:textId="0F993C8C"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 xml:space="preserve">Ekspertyza techniczno-balistyczna powinna być zaopatrzona w wykaz opracowań oraz pisemne oświadczenie, że jest wykonany zgodnie z umową, obowiązującymi przepisami, normami i wytycznymi oraz że została wykonana w stanie kompletnym z punktu widzenia celu, któremu ma służyć i może być skierowana do realizacji. Wykaz opracowań oraz pisemne oświadczenie, o którym jest mowa powyżej stanowią integralną część przedmiotu zamówienia. </w:t>
      </w:r>
    </w:p>
    <w:p w14:paraId="0E589801" w14:textId="79F539AA"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 xml:space="preserve">Warunkiem podpisania przez Zamawiającego protokołu odbioru końcowego  jest kompletność dokumentacji, w tym wszystkich wymaganych uzgodnień, opinii, opracowań oraz poprawność pod względem formalnym. Data podpisania przez strony protokołu odbioru końcowego jest datą faktycznego wykonania </w:t>
      </w:r>
      <w:r w:rsidR="000E27C9" w:rsidRPr="00831E90">
        <w:rPr>
          <w:rFonts w:cstheme="minorHAnsi"/>
        </w:rPr>
        <w:t>ekspertyzy</w:t>
      </w:r>
      <w:r w:rsidRPr="00831E90">
        <w:rPr>
          <w:rFonts w:cstheme="minorHAnsi"/>
        </w:rPr>
        <w:t>.</w:t>
      </w:r>
    </w:p>
    <w:p w14:paraId="77CC0EFD" w14:textId="77777777" w:rsidR="003160C8" w:rsidRPr="00831E90" w:rsidRDefault="003160C8"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Z dniem opłacenia należności za przedmiot zamówienia lub poszczególne jego etapy, Zamawiający staje się jego właścicielem i nabywa prawa autorskie do wszystkich utworów w rozumieniu ustawy o Prawie autorskim i prawach pokrewnych wytworzonych w trakcie realizacji przedmiotu umowy, na wszelkich polach eksploatacji w szczególności: do publikacji, modyfikacji, zmian, przeniesienia prawa do dokumentacji na osobę trzecią, dzierżawy, najmu, wykorzystania wielokrotnego, upublicznienia, bez dodatkowego wynagrodzenia, bez ograniczeń, bez zgody Wykonawcy ww. dokumentacji PFU dla każdej inwestycji realizowanej przez Zamawiającego w całości lub chociażby w części.</w:t>
      </w:r>
    </w:p>
    <w:p w14:paraId="322F91D7" w14:textId="71A990F7" w:rsidR="003160C8" w:rsidRPr="00831E90" w:rsidRDefault="003160C8" w:rsidP="000E27C9">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 xml:space="preserve">Opracowaną dokumentację </w:t>
      </w:r>
      <w:r w:rsidR="00A152C2" w:rsidRPr="00831E90">
        <w:rPr>
          <w:rFonts w:cstheme="minorHAnsi"/>
        </w:rPr>
        <w:t xml:space="preserve">ekspertyzy </w:t>
      </w:r>
      <w:r w:rsidRPr="00831E90">
        <w:rPr>
          <w:rFonts w:cstheme="minorHAnsi"/>
        </w:rPr>
        <w:t xml:space="preserve">w formie wydruków, wykonanych techniką tradycyjną na nośniku papierowym Wykonawca przekaże Zamawiającemu protokołem zdawczo-odbiorczym w następującej ilości egzemplarzy:           </w:t>
      </w:r>
      <w:r w:rsidRPr="00831E90">
        <w:rPr>
          <w:rFonts w:cstheme="minorHAnsi"/>
        </w:rPr>
        <w:tab/>
      </w:r>
    </w:p>
    <w:p w14:paraId="65FAA518" w14:textId="63880B9C" w:rsidR="003160C8" w:rsidRPr="00831E90" w:rsidRDefault="000E27C9" w:rsidP="003160C8">
      <w:pPr>
        <w:numPr>
          <w:ilvl w:val="2"/>
          <w:numId w:val="2"/>
        </w:numPr>
        <w:tabs>
          <w:tab w:val="num" w:pos="993"/>
        </w:tabs>
        <w:spacing w:after="0" w:line="276" w:lineRule="auto"/>
        <w:ind w:left="993" w:hanging="426"/>
        <w:jc w:val="both"/>
        <w:rPr>
          <w:rFonts w:cstheme="minorHAnsi"/>
        </w:rPr>
      </w:pPr>
      <w:r w:rsidRPr="00831E90">
        <w:rPr>
          <w:rFonts w:cstheme="minorHAnsi"/>
        </w:rPr>
        <w:t>Ekspertyza techniczno-balistyczna</w:t>
      </w:r>
      <w:r w:rsidR="00B71383">
        <w:rPr>
          <w:rFonts w:cstheme="minorHAnsi"/>
        </w:rPr>
        <w:t xml:space="preserve"> </w:t>
      </w:r>
      <w:r w:rsidR="003160C8" w:rsidRPr="00831E90">
        <w:rPr>
          <w:rFonts w:cstheme="minorHAnsi"/>
          <w:b/>
        </w:rPr>
        <w:t xml:space="preserve">- 4 </w:t>
      </w:r>
      <w:proofErr w:type="spellStart"/>
      <w:r w:rsidR="003160C8" w:rsidRPr="00831E90">
        <w:rPr>
          <w:rFonts w:cstheme="minorHAnsi"/>
          <w:b/>
        </w:rPr>
        <w:t>kpl</w:t>
      </w:r>
      <w:proofErr w:type="spellEnd"/>
      <w:r w:rsidR="003160C8" w:rsidRPr="00831E90">
        <w:rPr>
          <w:rFonts w:cstheme="minorHAnsi"/>
        </w:rPr>
        <w:t xml:space="preserve">. </w:t>
      </w:r>
    </w:p>
    <w:p w14:paraId="5B9C6834" w14:textId="5B20B892" w:rsidR="003160C8" w:rsidRPr="00831E90" w:rsidRDefault="000E27C9" w:rsidP="003160C8">
      <w:pPr>
        <w:numPr>
          <w:ilvl w:val="2"/>
          <w:numId w:val="1"/>
        </w:numPr>
        <w:tabs>
          <w:tab w:val="clear" w:pos="1440"/>
          <w:tab w:val="num" w:pos="567"/>
        </w:tabs>
        <w:spacing w:after="0" w:line="276" w:lineRule="auto"/>
        <w:ind w:left="567" w:hanging="567"/>
        <w:jc w:val="both"/>
        <w:rPr>
          <w:rFonts w:cstheme="minorHAnsi"/>
        </w:rPr>
      </w:pPr>
      <w:r w:rsidRPr="00831E90">
        <w:rPr>
          <w:rFonts w:cstheme="minorHAnsi"/>
        </w:rPr>
        <w:t xml:space="preserve">Opracowaną dokumentacji ekspertyzy techniczno-balistycznej </w:t>
      </w:r>
      <w:r w:rsidR="003160C8" w:rsidRPr="00831E90">
        <w:rPr>
          <w:rFonts w:cstheme="minorHAnsi"/>
        </w:rPr>
        <w:t xml:space="preserve">w formie elektronicznej na nośnikach typu pendrive Wykonawca przekaże Zamawiającemu protokołem zdawczo-odbiorczym w następującej formie i ilości egzemplarzy:           </w:t>
      </w:r>
    </w:p>
    <w:p w14:paraId="1A566E9B" w14:textId="02BE469E" w:rsidR="003160C8" w:rsidRPr="00831E90" w:rsidRDefault="003160C8" w:rsidP="003160C8">
      <w:pPr>
        <w:numPr>
          <w:ilvl w:val="2"/>
          <w:numId w:val="3"/>
        </w:numPr>
        <w:tabs>
          <w:tab w:val="clear" w:pos="1440"/>
        </w:tabs>
        <w:spacing w:after="0" w:line="276" w:lineRule="auto"/>
        <w:ind w:left="993" w:hanging="426"/>
        <w:jc w:val="both"/>
        <w:rPr>
          <w:rFonts w:cstheme="minorHAnsi"/>
        </w:rPr>
      </w:pPr>
      <w:r w:rsidRPr="00831E90">
        <w:rPr>
          <w:rFonts w:cstheme="minorHAnsi"/>
          <w:b/>
        </w:rPr>
        <w:t xml:space="preserve">Jeden nośnik typu pendrive </w:t>
      </w:r>
      <w:r w:rsidRPr="00831E90">
        <w:rPr>
          <w:rFonts w:cstheme="minorHAnsi"/>
        </w:rPr>
        <w:t xml:space="preserve">z zapisem dokumentacji </w:t>
      </w:r>
      <w:r w:rsidR="00831E90">
        <w:rPr>
          <w:rFonts w:cstheme="minorHAnsi"/>
        </w:rPr>
        <w:t>ekspertyzy techni</w:t>
      </w:r>
      <w:r w:rsidR="000E27C9" w:rsidRPr="00831E90">
        <w:rPr>
          <w:rFonts w:cstheme="minorHAnsi"/>
        </w:rPr>
        <w:t>czno-balistycznej</w:t>
      </w:r>
      <w:r w:rsidRPr="00831E90">
        <w:rPr>
          <w:rFonts w:cstheme="minorHAnsi"/>
        </w:rPr>
        <w:t xml:space="preserve"> w wersji edytowalnej w formatach *.</w:t>
      </w:r>
      <w:proofErr w:type="spellStart"/>
      <w:r w:rsidRPr="00831E90">
        <w:rPr>
          <w:rFonts w:cstheme="minorHAnsi"/>
        </w:rPr>
        <w:t>dwg</w:t>
      </w:r>
      <w:proofErr w:type="spellEnd"/>
      <w:r w:rsidRPr="00831E90">
        <w:rPr>
          <w:rFonts w:cstheme="minorHAnsi"/>
        </w:rPr>
        <w:t>, *.</w:t>
      </w:r>
      <w:proofErr w:type="spellStart"/>
      <w:r w:rsidRPr="00831E90">
        <w:rPr>
          <w:rFonts w:cstheme="minorHAnsi"/>
        </w:rPr>
        <w:t>dxf</w:t>
      </w:r>
      <w:proofErr w:type="spellEnd"/>
      <w:r w:rsidRPr="00831E90">
        <w:rPr>
          <w:rFonts w:cstheme="minorHAnsi"/>
        </w:rPr>
        <w:t>, *.</w:t>
      </w:r>
      <w:proofErr w:type="spellStart"/>
      <w:r w:rsidRPr="00831E90">
        <w:rPr>
          <w:rFonts w:cstheme="minorHAnsi"/>
        </w:rPr>
        <w:t>doc</w:t>
      </w:r>
      <w:proofErr w:type="spellEnd"/>
      <w:r w:rsidRPr="00831E90">
        <w:rPr>
          <w:rFonts w:cstheme="minorHAnsi"/>
        </w:rPr>
        <w:t>, *.</w:t>
      </w:r>
      <w:proofErr w:type="spellStart"/>
      <w:r w:rsidRPr="00831E90">
        <w:rPr>
          <w:rFonts w:cstheme="minorHAnsi"/>
        </w:rPr>
        <w:t>ath</w:t>
      </w:r>
      <w:proofErr w:type="spellEnd"/>
      <w:r w:rsidRPr="00831E90">
        <w:rPr>
          <w:rFonts w:cstheme="minorHAnsi"/>
        </w:rPr>
        <w:t xml:space="preserve"> lub kompatybilnych. Pendrive </w:t>
      </w:r>
      <w:r w:rsidRPr="00831E90">
        <w:rPr>
          <w:rFonts w:cstheme="minorHAnsi"/>
        </w:rPr>
        <w:lastRenderedPageBreak/>
        <w:t>winien zawierać wszystkie opinie i uzgodnienia, warunki techniczne, pozwolenia które były wymagane pod</w:t>
      </w:r>
      <w:r w:rsidR="000E27C9" w:rsidRPr="00831E90">
        <w:rPr>
          <w:rFonts w:cstheme="minorHAnsi"/>
        </w:rPr>
        <w:t>czas opracowywania dokumentacji ekspertyzy</w:t>
      </w:r>
      <w:r w:rsidRPr="00831E90">
        <w:rPr>
          <w:rFonts w:cstheme="minorHAnsi"/>
        </w:rPr>
        <w:t xml:space="preserve"> (wersja PDF lub JPEG).</w:t>
      </w:r>
    </w:p>
    <w:p w14:paraId="00DDF060" w14:textId="614BE509" w:rsidR="003160C8" w:rsidRPr="00831E90" w:rsidRDefault="003160C8" w:rsidP="003160C8">
      <w:pPr>
        <w:numPr>
          <w:ilvl w:val="2"/>
          <w:numId w:val="3"/>
        </w:numPr>
        <w:tabs>
          <w:tab w:val="clear" w:pos="1440"/>
        </w:tabs>
        <w:spacing w:after="0" w:line="276" w:lineRule="auto"/>
        <w:ind w:left="993" w:hanging="426"/>
        <w:jc w:val="both"/>
        <w:rPr>
          <w:rFonts w:cstheme="minorHAnsi"/>
        </w:rPr>
      </w:pPr>
      <w:r w:rsidRPr="00831E90">
        <w:rPr>
          <w:rFonts w:cstheme="minorHAnsi"/>
          <w:b/>
        </w:rPr>
        <w:t>Jeden nośnik typu pendrive</w:t>
      </w:r>
      <w:r w:rsidRPr="00831E90">
        <w:rPr>
          <w:rFonts w:cstheme="minorHAnsi"/>
        </w:rPr>
        <w:t xml:space="preserve"> dla potrzeb przygotowania zamówień publicznych z zapisem </w:t>
      </w:r>
      <w:r w:rsidR="000E27C9" w:rsidRPr="00831E90">
        <w:rPr>
          <w:rFonts w:cstheme="minorHAnsi"/>
        </w:rPr>
        <w:t>ekspertyzy</w:t>
      </w:r>
      <w:r w:rsidRPr="00831E90">
        <w:rPr>
          <w:rFonts w:cstheme="minorHAnsi"/>
        </w:rPr>
        <w:t xml:space="preserve"> w wersji nieedytowalnej PDF lub JPEG, nie zawierające kosztorysów inwestorskich oraz danych osobowych, które są chronione ustawą o danych osobowych. Pendrive winien zawierać m.in.</w:t>
      </w:r>
    </w:p>
    <w:p w14:paraId="5D5B51F7" w14:textId="405880D1" w:rsidR="003160C8" w:rsidRPr="00831E90" w:rsidRDefault="000E27C9" w:rsidP="003160C8">
      <w:pPr>
        <w:numPr>
          <w:ilvl w:val="2"/>
          <w:numId w:val="4"/>
        </w:numPr>
        <w:spacing w:after="0" w:line="276" w:lineRule="auto"/>
        <w:jc w:val="both"/>
        <w:rPr>
          <w:rFonts w:cstheme="minorHAnsi"/>
        </w:rPr>
      </w:pPr>
      <w:r w:rsidRPr="00831E90">
        <w:rPr>
          <w:rFonts w:cstheme="minorHAnsi"/>
        </w:rPr>
        <w:t xml:space="preserve">ekspertyzę techniczno-balistyczną </w:t>
      </w:r>
      <w:r w:rsidR="003160C8" w:rsidRPr="00831E90">
        <w:rPr>
          <w:rFonts w:cstheme="minorHAnsi"/>
        </w:rPr>
        <w:t>,</w:t>
      </w:r>
    </w:p>
    <w:p w14:paraId="13644853" w14:textId="66465C58" w:rsidR="003160C8" w:rsidRPr="00831E90" w:rsidRDefault="003160C8" w:rsidP="003160C8">
      <w:pPr>
        <w:numPr>
          <w:ilvl w:val="2"/>
          <w:numId w:val="4"/>
        </w:numPr>
        <w:spacing w:after="0" w:line="276" w:lineRule="auto"/>
        <w:jc w:val="both"/>
        <w:rPr>
          <w:rFonts w:cstheme="minorHAnsi"/>
        </w:rPr>
      </w:pPr>
      <w:r w:rsidRPr="00831E90">
        <w:rPr>
          <w:rFonts w:cstheme="minorHAnsi"/>
        </w:rPr>
        <w:t>uzgodnienia i opinie, warunki techniczne</w:t>
      </w:r>
      <w:r w:rsidR="000E27C9" w:rsidRPr="00831E90">
        <w:rPr>
          <w:rFonts w:cstheme="minorHAnsi"/>
        </w:rPr>
        <w:t>.</w:t>
      </w:r>
    </w:p>
    <w:p w14:paraId="0937640F" w14:textId="67D0B12E" w:rsidR="003160C8" w:rsidRPr="00831E90" w:rsidRDefault="003160C8" w:rsidP="003160C8">
      <w:pPr>
        <w:numPr>
          <w:ilvl w:val="2"/>
          <w:numId w:val="3"/>
        </w:numPr>
        <w:tabs>
          <w:tab w:val="clear" w:pos="1440"/>
        </w:tabs>
        <w:spacing w:after="0" w:line="276" w:lineRule="auto"/>
        <w:ind w:left="993" w:hanging="426"/>
        <w:jc w:val="both"/>
        <w:rPr>
          <w:rFonts w:cstheme="minorHAnsi"/>
        </w:rPr>
      </w:pPr>
      <w:r w:rsidRPr="00831E90">
        <w:rPr>
          <w:rFonts w:cstheme="minorHAnsi"/>
        </w:rPr>
        <w:t>Dokumenty przygotowywane na nośnikach elektronicznych winny zawierać pliki max do 10 MB. Zapisy na nośnikach winny być czytelne (skat</w:t>
      </w:r>
      <w:r w:rsidR="000E27C9" w:rsidRPr="00831E90">
        <w:rPr>
          <w:rFonts w:cstheme="minorHAnsi"/>
        </w:rPr>
        <w:t>alogowane), podzielone tematycznie</w:t>
      </w:r>
      <w:r w:rsidR="00B207F0">
        <w:rPr>
          <w:rFonts w:cstheme="minorHAnsi"/>
        </w:rPr>
        <w:t>.</w:t>
      </w:r>
    </w:p>
    <w:p w14:paraId="508309EF" w14:textId="77777777" w:rsidR="003160C8" w:rsidRPr="00831E90" w:rsidRDefault="003160C8" w:rsidP="00FB1EA2">
      <w:pPr>
        <w:autoSpaceDE w:val="0"/>
        <w:autoSpaceDN w:val="0"/>
        <w:adjustRightInd w:val="0"/>
        <w:spacing w:after="0" w:line="240" w:lineRule="auto"/>
        <w:jc w:val="both"/>
        <w:rPr>
          <w:rFonts w:cstheme="minorHAnsi"/>
          <w:b/>
        </w:rPr>
      </w:pPr>
    </w:p>
    <w:p w14:paraId="3E972130" w14:textId="4655D047" w:rsidR="00FB1EA2" w:rsidRPr="00831E90" w:rsidRDefault="003160C8" w:rsidP="00FB1EA2">
      <w:pPr>
        <w:autoSpaceDE w:val="0"/>
        <w:autoSpaceDN w:val="0"/>
        <w:adjustRightInd w:val="0"/>
        <w:spacing w:after="0" w:line="240" w:lineRule="auto"/>
        <w:jc w:val="both"/>
        <w:rPr>
          <w:rFonts w:cstheme="minorHAnsi"/>
          <w:b/>
        </w:rPr>
      </w:pPr>
      <w:r w:rsidRPr="00831E90">
        <w:rPr>
          <w:rFonts w:cstheme="minorHAnsi"/>
          <w:b/>
        </w:rPr>
        <w:t xml:space="preserve">4. </w:t>
      </w:r>
      <w:r w:rsidR="00FB1EA2" w:rsidRPr="00831E90">
        <w:rPr>
          <w:rFonts w:cstheme="minorHAnsi"/>
          <w:b/>
        </w:rPr>
        <w:t>Wymagania dotyczące postępowania:</w:t>
      </w:r>
    </w:p>
    <w:p w14:paraId="46E0F3E5" w14:textId="77777777" w:rsidR="00FB1EA2" w:rsidRPr="00831E90" w:rsidRDefault="00FB1EA2" w:rsidP="00FB1EA2">
      <w:pPr>
        <w:autoSpaceDE w:val="0"/>
        <w:autoSpaceDN w:val="0"/>
        <w:adjustRightInd w:val="0"/>
        <w:spacing w:after="0" w:line="240" w:lineRule="auto"/>
        <w:jc w:val="both"/>
        <w:rPr>
          <w:rFonts w:cstheme="minorHAnsi"/>
        </w:rPr>
      </w:pPr>
    </w:p>
    <w:p w14:paraId="199B1467" w14:textId="7455F0C8" w:rsidR="00831E90" w:rsidRPr="00D23806" w:rsidRDefault="00FB1EA2" w:rsidP="00D23806">
      <w:pPr>
        <w:pStyle w:val="Akapitzlist"/>
        <w:numPr>
          <w:ilvl w:val="0"/>
          <w:numId w:val="5"/>
        </w:numPr>
        <w:autoSpaceDE w:val="0"/>
        <w:autoSpaceDN w:val="0"/>
        <w:adjustRightInd w:val="0"/>
        <w:spacing w:after="0" w:line="360" w:lineRule="auto"/>
        <w:jc w:val="both"/>
        <w:rPr>
          <w:rFonts w:ascii="Calibri" w:hAnsi="Calibri" w:cs="Calibri"/>
          <w:bCs/>
        </w:rPr>
      </w:pPr>
      <w:r w:rsidRPr="00D23806">
        <w:rPr>
          <w:rFonts w:cstheme="minorHAnsi"/>
        </w:rPr>
        <w:t>Przedmiot zamówienia mogą opracować wyłącznie jednostki naukowe, tj. podmioty</w:t>
      </w:r>
      <w:r w:rsidR="00604418" w:rsidRPr="00D23806">
        <w:rPr>
          <w:rFonts w:cstheme="minorHAnsi"/>
        </w:rPr>
        <w:t xml:space="preserve"> </w:t>
      </w:r>
      <w:r w:rsidRPr="00D23806">
        <w:rPr>
          <w:rFonts w:cstheme="minorHAnsi"/>
        </w:rPr>
        <w:t>wymienione w art. 7 ust. 1 pkt 1, 2 i 4 - 8 ustawy z dnia 20 lipca 2018</w:t>
      </w:r>
      <w:r w:rsidR="00604418" w:rsidRPr="00D23806">
        <w:rPr>
          <w:rFonts w:cstheme="minorHAnsi"/>
        </w:rPr>
        <w:t xml:space="preserve"> </w:t>
      </w:r>
      <w:r w:rsidRPr="00D23806">
        <w:rPr>
          <w:rFonts w:cstheme="minorHAnsi"/>
        </w:rPr>
        <w:t>r. – Prawo</w:t>
      </w:r>
      <w:r w:rsidR="00604418" w:rsidRPr="00D23806">
        <w:rPr>
          <w:rFonts w:cstheme="minorHAnsi"/>
        </w:rPr>
        <w:t xml:space="preserve"> </w:t>
      </w:r>
      <w:r w:rsidRPr="00D23806">
        <w:rPr>
          <w:rFonts w:cstheme="minorHAnsi"/>
        </w:rPr>
        <w:t>o szkolnictwie wyższym i nauce (Dz.U. z 2022</w:t>
      </w:r>
      <w:r w:rsidR="00604418" w:rsidRPr="00D23806">
        <w:rPr>
          <w:rFonts w:cstheme="minorHAnsi"/>
        </w:rPr>
        <w:t xml:space="preserve"> </w:t>
      </w:r>
      <w:r w:rsidRPr="00D23806">
        <w:rPr>
          <w:rFonts w:cstheme="minorHAnsi"/>
        </w:rPr>
        <w:t>r. poz. 574, 583, 655, 682 i 807),</w:t>
      </w:r>
      <w:r w:rsidR="00604418" w:rsidRPr="00D23806">
        <w:rPr>
          <w:rFonts w:cstheme="minorHAnsi"/>
        </w:rPr>
        <w:t xml:space="preserve"> </w:t>
      </w:r>
      <w:r w:rsidRPr="00D23806">
        <w:rPr>
          <w:rFonts w:cstheme="minorHAnsi"/>
        </w:rPr>
        <w:t>prowadzące badania naukowe lub prace rozwojowe z zakresu balistyki zewnętrznej</w:t>
      </w:r>
      <w:r w:rsidR="00604418" w:rsidRPr="00D23806">
        <w:rPr>
          <w:rFonts w:cstheme="minorHAnsi"/>
        </w:rPr>
        <w:t xml:space="preserve"> </w:t>
      </w:r>
      <w:r w:rsidR="00831E90" w:rsidRPr="00D23806">
        <w:rPr>
          <w:rFonts w:cstheme="minorHAnsi"/>
        </w:rPr>
        <w:t>i końcowej</w:t>
      </w:r>
      <w:r w:rsidR="00891F76">
        <w:rPr>
          <w:rFonts w:cstheme="minorHAnsi"/>
        </w:rPr>
        <w:t>,</w:t>
      </w:r>
      <w:r w:rsidR="00891F76" w:rsidRPr="00891F76">
        <w:rPr>
          <w:rFonts w:cstheme="minorHAnsi"/>
        </w:rPr>
        <w:t xml:space="preserve"> </w:t>
      </w:r>
      <w:r w:rsidR="00891F76">
        <w:rPr>
          <w:rFonts w:cstheme="minorHAnsi"/>
        </w:rPr>
        <w:t>legitymująca</w:t>
      </w:r>
      <w:r w:rsidR="00891F76" w:rsidRPr="00D23806">
        <w:rPr>
          <w:rFonts w:cstheme="minorHAnsi"/>
        </w:rPr>
        <w:t xml:space="preserve"> się należytym opracowaniem jednej ekspertyzy techniczno-balistycznej </w:t>
      </w:r>
      <w:r w:rsidR="00891F76">
        <w:rPr>
          <w:rFonts w:cstheme="minorHAnsi"/>
        </w:rPr>
        <w:t xml:space="preserve">strzelnicy </w:t>
      </w:r>
      <w:r w:rsidR="00891F76" w:rsidRPr="00D23806">
        <w:rPr>
          <w:rFonts w:cstheme="minorHAnsi"/>
        </w:rPr>
        <w:t xml:space="preserve">w okresie ostatnich 3 </w:t>
      </w:r>
      <w:r w:rsidR="00891F76" w:rsidRPr="00D23806">
        <w:rPr>
          <w:rFonts w:ascii="Calibri" w:hAnsi="Calibri" w:cs="Calibri"/>
          <w:bCs/>
        </w:rPr>
        <w:t>lat przed upływem terminu składania ofert, a jeżeli okres prowadzenia działalności jest krótszy – to w tym okresie</w:t>
      </w:r>
      <w:r w:rsidR="00831E90" w:rsidRPr="00D23806">
        <w:rPr>
          <w:rFonts w:cstheme="minorHAnsi"/>
        </w:rPr>
        <w:t xml:space="preserve"> lub podmioty posiadają</w:t>
      </w:r>
      <w:r w:rsidR="00B207F0" w:rsidRPr="00D23806">
        <w:rPr>
          <w:rFonts w:cstheme="minorHAnsi"/>
        </w:rPr>
        <w:t>ce</w:t>
      </w:r>
      <w:r w:rsidR="00831E90" w:rsidRPr="00D23806">
        <w:rPr>
          <w:rFonts w:cstheme="minorHAnsi"/>
        </w:rPr>
        <w:t xml:space="preserve"> niezbędne doświadczenie</w:t>
      </w:r>
      <w:r w:rsidR="00B207F0" w:rsidRPr="00D23806">
        <w:rPr>
          <w:rFonts w:cstheme="minorHAnsi"/>
        </w:rPr>
        <w:t xml:space="preserve">, legitymujący się należytym opracowaniem jednej ekspertyzy techniczno-balistycznej </w:t>
      </w:r>
      <w:r w:rsidR="00D23806">
        <w:rPr>
          <w:rFonts w:cstheme="minorHAnsi"/>
        </w:rPr>
        <w:t xml:space="preserve">strzelnicy </w:t>
      </w:r>
      <w:r w:rsidR="00B207F0" w:rsidRPr="00D23806">
        <w:rPr>
          <w:rFonts w:cstheme="minorHAnsi"/>
        </w:rPr>
        <w:t xml:space="preserve">w okresie ostatnich 3 </w:t>
      </w:r>
      <w:r w:rsidR="00B207F0" w:rsidRPr="00D23806">
        <w:rPr>
          <w:rFonts w:ascii="Calibri" w:hAnsi="Calibri" w:cs="Calibri"/>
          <w:bCs/>
        </w:rPr>
        <w:t>lat przed upływem terminu składania ofert, a jeżeli okres prowadzenia działalności jest krótszy – to w tym okresie.</w:t>
      </w:r>
      <w:r w:rsidR="00604E27">
        <w:rPr>
          <w:rFonts w:ascii="Calibri" w:hAnsi="Calibri" w:cs="Calibri"/>
          <w:bCs/>
        </w:rPr>
        <w:t xml:space="preserve"> – załącznik nr 1</w:t>
      </w:r>
      <w:r w:rsidR="00B207F0" w:rsidRPr="00D23806">
        <w:rPr>
          <w:rFonts w:ascii="Calibri" w:hAnsi="Calibri" w:cs="Calibri"/>
          <w:bCs/>
        </w:rPr>
        <w:t xml:space="preserve"> </w:t>
      </w:r>
    </w:p>
    <w:p w14:paraId="5DCC0938" w14:textId="69378412" w:rsidR="00FB1EA2" w:rsidRDefault="00FB1EA2" w:rsidP="00831E90">
      <w:pPr>
        <w:pStyle w:val="Akapitzlist"/>
        <w:numPr>
          <w:ilvl w:val="0"/>
          <w:numId w:val="5"/>
        </w:numPr>
        <w:autoSpaceDE w:val="0"/>
        <w:autoSpaceDN w:val="0"/>
        <w:adjustRightInd w:val="0"/>
        <w:spacing w:after="0" w:line="360" w:lineRule="auto"/>
        <w:jc w:val="both"/>
        <w:rPr>
          <w:rFonts w:cstheme="minorHAnsi"/>
        </w:rPr>
      </w:pPr>
      <w:r w:rsidRPr="00D23806">
        <w:rPr>
          <w:rFonts w:cstheme="minorHAnsi"/>
        </w:rPr>
        <w:t xml:space="preserve"> Termin realizacji – </w:t>
      </w:r>
      <w:r w:rsidR="00747590">
        <w:rPr>
          <w:rFonts w:cstheme="minorHAnsi"/>
        </w:rPr>
        <w:t>3 miesiące</w:t>
      </w:r>
      <w:r w:rsidRPr="00D23806">
        <w:rPr>
          <w:rFonts w:cstheme="minorHAnsi"/>
        </w:rPr>
        <w:t xml:space="preserve"> od daty podpisania umowy.</w:t>
      </w:r>
    </w:p>
    <w:p w14:paraId="778A97EF" w14:textId="7B6EED2A" w:rsidR="00FB1EA2" w:rsidRDefault="00FB1EA2" w:rsidP="00831E90">
      <w:pPr>
        <w:pStyle w:val="Akapitzlist"/>
        <w:numPr>
          <w:ilvl w:val="0"/>
          <w:numId w:val="5"/>
        </w:numPr>
        <w:autoSpaceDE w:val="0"/>
        <w:autoSpaceDN w:val="0"/>
        <w:adjustRightInd w:val="0"/>
        <w:spacing w:after="0" w:line="360" w:lineRule="auto"/>
        <w:jc w:val="both"/>
        <w:rPr>
          <w:rFonts w:cstheme="minorHAnsi"/>
        </w:rPr>
      </w:pPr>
      <w:r w:rsidRPr="00D23806">
        <w:rPr>
          <w:rFonts w:cstheme="minorHAnsi"/>
        </w:rPr>
        <w:t>Kryteria wyboru ofert: 100% cena.</w:t>
      </w:r>
    </w:p>
    <w:p w14:paraId="11B0D391" w14:textId="0884B615" w:rsidR="00FB1EA2" w:rsidRDefault="00D23806" w:rsidP="00831E90">
      <w:pPr>
        <w:pStyle w:val="Akapitzlist"/>
        <w:numPr>
          <w:ilvl w:val="0"/>
          <w:numId w:val="5"/>
        </w:numPr>
        <w:autoSpaceDE w:val="0"/>
        <w:autoSpaceDN w:val="0"/>
        <w:adjustRightInd w:val="0"/>
        <w:spacing w:after="0" w:line="360" w:lineRule="auto"/>
        <w:jc w:val="both"/>
        <w:rPr>
          <w:rFonts w:cstheme="minorHAnsi"/>
        </w:rPr>
      </w:pPr>
      <w:r>
        <w:rPr>
          <w:rFonts w:cstheme="minorHAnsi"/>
        </w:rPr>
        <w:t>W</w:t>
      </w:r>
      <w:r w:rsidR="00FB1EA2" w:rsidRPr="00D23806">
        <w:rPr>
          <w:rFonts w:cstheme="minorHAnsi"/>
        </w:rPr>
        <w:t xml:space="preserve">ymagany termin gwarancji: co najmniej </w:t>
      </w:r>
      <w:r>
        <w:rPr>
          <w:rFonts w:cstheme="minorHAnsi"/>
        </w:rPr>
        <w:t xml:space="preserve">12 </w:t>
      </w:r>
      <w:r w:rsidR="00FB1EA2" w:rsidRPr="00D23806">
        <w:rPr>
          <w:rFonts w:cstheme="minorHAnsi"/>
        </w:rPr>
        <w:t>miesięcy od daty odbioru przedmiotu</w:t>
      </w:r>
      <w:r>
        <w:rPr>
          <w:rFonts w:cstheme="minorHAnsi"/>
        </w:rPr>
        <w:t xml:space="preserve"> </w:t>
      </w:r>
      <w:r w:rsidR="00FB1EA2" w:rsidRPr="00D23806">
        <w:rPr>
          <w:rFonts w:cstheme="minorHAnsi"/>
        </w:rPr>
        <w:t>zamówienia.</w:t>
      </w:r>
    </w:p>
    <w:p w14:paraId="3B692494" w14:textId="77777777" w:rsidR="00D23806" w:rsidRDefault="00FB1EA2" w:rsidP="00831E90">
      <w:pPr>
        <w:pStyle w:val="Akapitzlist"/>
        <w:numPr>
          <w:ilvl w:val="0"/>
          <w:numId w:val="5"/>
        </w:numPr>
        <w:autoSpaceDE w:val="0"/>
        <w:autoSpaceDN w:val="0"/>
        <w:adjustRightInd w:val="0"/>
        <w:spacing w:after="0" w:line="360" w:lineRule="auto"/>
        <w:jc w:val="both"/>
        <w:rPr>
          <w:rFonts w:cstheme="minorHAnsi"/>
        </w:rPr>
      </w:pPr>
      <w:r w:rsidRPr="00D23806">
        <w:rPr>
          <w:rFonts w:cstheme="minorHAnsi"/>
        </w:rPr>
        <w:t>Osoba</w:t>
      </w:r>
      <w:r w:rsidR="00871429" w:rsidRPr="00D23806">
        <w:rPr>
          <w:rFonts w:cstheme="minorHAnsi"/>
        </w:rPr>
        <w:t xml:space="preserve"> </w:t>
      </w:r>
      <w:r w:rsidRPr="00D23806">
        <w:rPr>
          <w:rFonts w:cstheme="minorHAnsi"/>
        </w:rPr>
        <w:t>upoważniona</w:t>
      </w:r>
      <w:r w:rsidR="00871429" w:rsidRPr="00D23806">
        <w:rPr>
          <w:rFonts w:cstheme="minorHAnsi"/>
        </w:rPr>
        <w:t xml:space="preserve"> </w:t>
      </w:r>
      <w:r w:rsidRPr="00D23806">
        <w:rPr>
          <w:rFonts w:cstheme="minorHAnsi"/>
        </w:rPr>
        <w:t>do</w:t>
      </w:r>
      <w:r w:rsidR="00871429" w:rsidRPr="00D23806">
        <w:rPr>
          <w:rFonts w:cstheme="minorHAnsi"/>
        </w:rPr>
        <w:t xml:space="preserve"> </w:t>
      </w:r>
      <w:r w:rsidRPr="00D23806">
        <w:rPr>
          <w:rFonts w:cstheme="minorHAnsi"/>
        </w:rPr>
        <w:t>kontaktów:</w:t>
      </w:r>
      <w:r w:rsidR="00D23806" w:rsidRPr="00D23806">
        <w:rPr>
          <w:rFonts w:cstheme="minorHAnsi"/>
        </w:rPr>
        <w:t xml:space="preserve"> </w:t>
      </w:r>
    </w:p>
    <w:p w14:paraId="2331993F" w14:textId="77777777" w:rsidR="00D20571" w:rsidRDefault="00D23806" w:rsidP="00D20571">
      <w:pPr>
        <w:pStyle w:val="Akapitzlist"/>
        <w:autoSpaceDE w:val="0"/>
        <w:autoSpaceDN w:val="0"/>
        <w:adjustRightInd w:val="0"/>
        <w:spacing w:after="0" w:line="360" w:lineRule="auto"/>
        <w:jc w:val="both"/>
        <w:rPr>
          <w:rFonts w:cstheme="minorHAnsi"/>
        </w:rPr>
      </w:pPr>
      <w:r w:rsidRPr="00D23806">
        <w:rPr>
          <w:rFonts w:cstheme="minorHAnsi"/>
        </w:rPr>
        <w:t xml:space="preserve">Waldemar Możdżonek   </w:t>
      </w:r>
      <w:r>
        <w:rPr>
          <w:rFonts w:cstheme="minorHAnsi"/>
        </w:rPr>
        <w:t xml:space="preserve"> </w:t>
      </w:r>
      <w:r w:rsidR="00FB1EA2" w:rsidRPr="00D23806">
        <w:rPr>
          <w:rFonts w:cstheme="minorHAnsi"/>
        </w:rPr>
        <w:t>tel</w:t>
      </w:r>
      <w:r>
        <w:rPr>
          <w:rFonts w:cstheme="minorHAnsi"/>
        </w:rPr>
        <w:t>. 47 7335361</w:t>
      </w:r>
    </w:p>
    <w:p w14:paraId="2FC2EE4A" w14:textId="2F7FBC07" w:rsidR="00D20571" w:rsidRDefault="00D20571" w:rsidP="00D20571">
      <w:pPr>
        <w:pStyle w:val="Akapitzlist"/>
        <w:autoSpaceDE w:val="0"/>
        <w:autoSpaceDN w:val="0"/>
        <w:adjustRightInd w:val="0"/>
        <w:spacing w:after="0" w:line="360" w:lineRule="auto"/>
        <w:jc w:val="both"/>
        <w:rPr>
          <w:rFonts w:ascii="Calibri" w:hAnsi="Calibri" w:cs="Calibri"/>
          <w:color w:val="000000"/>
        </w:rPr>
      </w:pPr>
      <w:r>
        <w:rPr>
          <w:rFonts w:ascii="Calibri" w:hAnsi="Calibri" w:cs="Calibri"/>
          <w:color w:val="000000"/>
        </w:rPr>
        <w:t>Maciej Wojciechowski     tel. 604 959 256,</w:t>
      </w:r>
    </w:p>
    <w:p w14:paraId="08E38BCC" w14:textId="584D2086" w:rsidR="000912B6" w:rsidRPr="0083348A" w:rsidRDefault="00D20571" w:rsidP="0083348A">
      <w:pPr>
        <w:pStyle w:val="Akapitzlist"/>
        <w:autoSpaceDE w:val="0"/>
        <w:autoSpaceDN w:val="0"/>
        <w:adjustRightInd w:val="0"/>
        <w:spacing w:after="0" w:line="360" w:lineRule="auto"/>
        <w:jc w:val="both"/>
        <w:rPr>
          <w:rFonts w:cstheme="minorHAnsi"/>
        </w:rPr>
      </w:pPr>
      <w:r>
        <w:rPr>
          <w:rFonts w:ascii="Calibri" w:hAnsi="Calibri" w:cs="Calibri"/>
          <w:color w:val="000000"/>
        </w:rPr>
        <w:t>Adam Piwowarski             tel. 880 509 579.</w:t>
      </w:r>
    </w:p>
    <w:sectPr w:rsidR="000912B6" w:rsidRPr="00833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1AC8"/>
    <w:multiLevelType w:val="multilevel"/>
    <w:tmpl w:val="8B6E9A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070"/>
        </w:tabs>
        <w:ind w:left="107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AB098F"/>
    <w:multiLevelType w:val="multilevel"/>
    <w:tmpl w:val="4B9274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5D04B79"/>
    <w:multiLevelType w:val="multilevel"/>
    <w:tmpl w:val="31166206"/>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7211A0A"/>
    <w:multiLevelType w:val="multilevel"/>
    <w:tmpl w:val="FAA04E0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DDD0D36"/>
    <w:multiLevelType w:val="hybridMultilevel"/>
    <w:tmpl w:val="BF4E937C"/>
    <w:lvl w:ilvl="0" w:tplc="A916264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24"/>
    <w:rsid w:val="000610FC"/>
    <w:rsid w:val="000912B6"/>
    <w:rsid w:val="000E27C9"/>
    <w:rsid w:val="001518D8"/>
    <w:rsid w:val="0018356F"/>
    <w:rsid w:val="00291AC8"/>
    <w:rsid w:val="003160C8"/>
    <w:rsid w:val="004448E8"/>
    <w:rsid w:val="004872FC"/>
    <w:rsid w:val="004B396F"/>
    <w:rsid w:val="004C4624"/>
    <w:rsid w:val="00604418"/>
    <w:rsid w:val="00604E27"/>
    <w:rsid w:val="006E1143"/>
    <w:rsid w:val="006E61E9"/>
    <w:rsid w:val="00747590"/>
    <w:rsid w:val="007A717A"/>
    <w:rsid w:val="007C193F"/>
    <w:rsid w:val="00831E90"/>
    <w:rsid w:val="0083348A"/>
    <w:rsid w:val="00871429"/>
    <w:rsid w:val="00891F76"/>
    <w:rsid w:val="00970EFB"/>
    <w:rsid w:val="00A152C2"/>
    <w:rsid w:val="00AA36AB"/>
    <w:rsid w:val="00B207F0"/>
    <w:rsid w:val="00B71383"/>
    <w:rsid w:val="00BA4B79"/>
    <w:rsid w:val="00CF465E"/>
    <w:rsid w:val="00D20571"/>
    <w:rsid w:val="00D23806"/>
    <w:rsid w:val="00D52969"/>
    <w:rsid w:val="00E16B5D"/>
    <w:rsid w:val="00EA0199"/>
    <w:rsid w:val="00FB1EA2"/>
    <w:rsid w:val="00FB1F59"/>
    <w:rsid w:val="00FB4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F5C4"/>
  <w15:chartTrackingRefBased/>
  <w15:docId w15:val="{DBEA55BC-7238-442C-94B0-8840AA96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B1F59"/>
    <w:rPr>
      <w:sz w:val="16"/>
      <w:szCs w:val="16"/>
    </w:rPr>
  </w:style>
  <w:style w:type="paragraph" w:styleId="Tekstkomentarza">
    <w:name w:val="annotation text"/>
    <w:basedOn w:val="Normalny"/>
    <w:link w:val="TekstkomentarzaZnak"/>
    <w:uiPriority w:val="99"/>
    <w:semiHidden/>
    <w:unhideWhenUsed/>
    <w:rsid w:val="00FB1F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1F59"/>
    <w:rPr>
      <w:sz w:val="20"/>
      <w:szCs w:val="20"/>
    </w:rPr>
  </w:style>
  <w:style w:type="paragraph" w:styleId="Tematkomentarza">
    <w:name w:val="annotation subject"/>
    <w:basedOn w:val="Tekstkomentarza"/>
    <w:next w:val="Tekstkomentarza"/>
    <w:link w:val="TematkomentarzaZnak"/>
    <w:uiPriority w:val="99"/>
    <w:semiHidden/>
    <w:unhideWhenUsed/>
    <w:rsid w:val="00FB1F59"/>
    <w:rPr>
      <w:b/>
      <w:bCs/>
    </w:rPr>
  </w:style>
  <w:style w:type="character" w:customStyle="1" w:styleId="TematkomentarzaZnak">
    <w:name w:val="Temat komentarza Znak"/>
    <w:basedOn w:val="TekstkomentarzaZnak"/>
    <w:link w:val="Tematkomentarza"/>
    <w:uiPriority w:val="99"/>
    <w:semiHidden/>
    <w:rsid w:val="00FB1F59"/>
    <w:rPr>
      <w:b/>
      <w:bCs/>
      <w:sz w:val="20"/>
      <w:szCs w:val="20"/>
    </w:rPr>
  </w:style>
  <w:style w:type="paragraph" w:styleId="Tekstdymka">
    <w:name w:val="Balloon Text"/>
    <w:basedOn w:val="Normalny"/>
    <w:link w:val="TekstdymkaZnak"/>
    <w:uiPriority w:val="99"/>
    <w:semiHidden/>
    <w:unhideWhenUsed/>
    <w:rsid w:val="00FB1F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1F59"/>
    <w:rPr>
      <w:rFonts w:ascii="Segoe UI" w:hAnsi="Segoe UI" w:cs="Segoe UI"/>
      <w:sz w:val="18"/>
      <w:szCs w:val="18"/>
    </w:rPr>
  </w:style>
  <w:style w:type="paragraph" w:styleId="Akapitzlist">
    <w:name w:val="List Paragraph"/>
    <w:basedOn w:val="Normalny"/>
    <w:uiPriority w:val="34"/>
    <w:qFormat/>
    <w:rsid w:val="00831E90"/>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831E90"/>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831E90"/>
    <w:rPr>
      <w:rFonts w:ascii="Times New Roman" w:eastAsia="Times New Roman" w:hAnsi="Times New Roman" w:cs="Times New Roman"/>
      <w:b/>
      <w:i/>
      <w:sz w:val="28"/>
      <w:szCs w:val="20"/>
      <w:lang w:eastAsia="pl-PL"/>
    </w:rPr>
  </w:style>
  <w:style w:type="paragraph" w:styleId="NormalnyWeb">
    <w:name w:val="Normal (Web)"/>
    <w:basedOn w:val="Normalny"/>
    <w:uiPriority w:val="99"/>
    <w:semiHidden/>
    <w:unhideWhenUsed/>
    <w:rsid w:val="00D20571"/>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3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1177</Words>
  <Characters>7066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Możdżonek</dc:creator>
  <cp:keywords/>
  <dc:description/>
  <cp:lastModifiedBy>Jowita Bruchwałd</cp:lastModifiedBy>
  <cp:revision>15</cp:revision>
  <cp:lastPrinted>2024-12-16T13:47:00Z</cp:lastPrinted>
  <dcterms:created xsi:type="dcterms:W3CDTF">2024-12-02T08:15:00Z</dcterms:created>
  <dcterms:modified xsi:type="dcterms:W3CDTF">2024-12-17T13:03:00Z</dcterms:modified>
</cp:coreProperties>
</file>