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2DA0946" w:rsidR="00C93EA9" w:rsidRPr="00B75FAA" w:rsidRDefault="00C93EA9" w:rsidP="00C93EA9">
      <w:pPr>
        <w:autoSpaceDE w:val="0"/>
        <w:autoSpaceDN w:val="0"/>
        <w:adjustRightInd w:val="0"/>
        <w:spacing w:line="240" w:lineRule="auto"/>
        <w:ind w:left="0" w:firstLine="5670"/>
        <w:jc w:val="left"/>
        <w:rPr>
          <w:rFonts w:ascii="Verdana" w:hAnsi="Verdana"/>
          <w:sz w:val="18"/>
          <w:szCs w:val="18"/>
        </w:rPr>
      </w:pPr>
      <w:r w:rsidRPr="00B75FAA">
        <w:rPr>
          <w:rFonts w:ascii="Verdana" w:hAnsi="Verdana"/>
          <w:sz w:val="18"/>
          <w:szCs w:val="18"/>
        </w:rPr>
        <w:t xml:space="preserve">   Łódź, dnia </w:t>
      </w:r>
      <w:r w:rsidR="0017717F" w:rsidRPr="00B75FAA">
        <w:rPr>
          <w:rFonts w:ascii="Verdana" w:hAnsi="Verdana"/>
          <w:sz w:val="18"/>
          <w:szCs w:val="18"/>
        </w:rPr>
        <w:t>10</w:t>
      </w:r>
      <w:r w:rsidRPr="00B75FAA">
        <w:rPr>
          <w:rFonts w:ascii="Verdana" w:hAnsi="Verdana"/>
          <w:sz w:val="18"/>
          <w:szCs w:val="18"/>
        </w:rPr>
        <w:t>.</w:t>
      </w:r>
      <w:r w:rsidR="0017717F" w:rsidRPr="00B75FAA">
        <w:rPr>
          <w:rFonts w:ascii="Verdana" w:hAnsi="Verdana"/>
          <w:sz w:val="18"/>
          <w:szCs w:val="18"/>
        </w:rPr>
        <w:t>0</w:t>
      </w:r>
      <w:r w:rsidR="004B7EAF" w:rsidRPr="00B75FAA">
        <w:rPr>
          <w:rFonts w:ascii="Verdana" w:hAnsi="Verdana"/>
          <w:sz w:val="18"/>
          <w:szCs w:val="18"/>
        </w:rPr>
        <w:t>1</w:t>
      </w:r>
      <w:r w:rsidRPr="00B75FAA">
        <w:rPr>
          <w:rFonts w:ascii="Verdana" w:hAnsi="Verdana"/>
          <w:sz w:val="18"/>
          <w:szCs w:val="18"/>
        </w:rPr>
        <w:t>.20</w:t>
      </w:r>
      <w:r w:rsidR="0017717F" w:rsidRPr="00B75FAA">
        <w:rPr>
          <w:rFonts w:ascii="Verdana" w:hAnsi="Verdana"/>
          <w:sz w:val="18"/>
          <w:szCs w:val="18"/>
        </w:rPr>
        <w:t>20</w:t>
      </w:r>
      <w:r w:rsidRPr="00B75FAA">
        <w:rPr>
          <w:rFonts w:ascii="Verdana" w:hAnsi="Verdana"/>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9FB11B0"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EE2F09">
        <w:rPr>
          <w:rFonts w:ascii="Verdana" w:hAnsi="Verdana" w:cs="Arial"/>
          <w:b/>
          <w:sz w:val="18"/>
          <w:szCs w:val="18"/>
          <w:lang w:val="pl-PL"/>
        </w:rPr>
        <w:t>30</w:t>
      </w:r>
      <w:r w:rsidR="00592C8A">
        <w:rPr>
          <w:rFonts w:ascii="Verdana" w:hAnsi="Verdana" w:cs="Arial"/>
          <w:b/>
          <w:sz w:val="18"/>
          <w:szCs w:val="18"/>
          <w:lang w:val="pl-PL"/>
        </w:rPr>
        <w:t xml:space="preserve"> </w:t>
      </w:r>
      <w:r w:rsidR="00B75FAA">
        <w:rPr>
          <w:rFonts w:ascii="Verdana" w:hAnsi="Verdana" w:cs="Arial"/>
          <w:b/>
          <w:sz w:val="18"/>
          <w:szCs w:val="18"/>
          <w:lang w:val="pl-PL"/>
        </w:rPr>
        <w:t>listopada</w:t>
      </w:r>
      <w:r w:rsidR="00EE2F09">
        <w:rPr>
          <w:rFonts w:ascii="Verdana" w:hAnsi="Verdana" w:cs="Arial"/>
          <w:b/>
          <w:sz w:val="18"/>
          <w:szCs w:val="18"/>
          <w:lang w:val="pl-PL"/>
        </w:rPr>
        <w:t xml:space="preserve"> </w:t>
      </w:r>
      <w:r w:rsidR="00B656B0" w:rsidRPr="00B656B0">
        <w:rPr>
          <w:rFonts w:ascii="Verdana" w:hAnsi="Verdana" w:cs="Arial"/>
          <w:b/>
          <w:sz w:val="18"/>
          <w:szCs w:val="18"/>
        </w:rPr>
        <w:t>202</w:t>
      </w:r>
      <w:r w:rsidR="00EE2F09">
        <w:rPr>
          <w:rFonts w:ascii="Verdana" w:hAnsi="Verdana" w:cs="Arial"/>
          <w:b/>
          <w:sz w:val="18"/>
          <w:szCs w:val="18"/>
          <w:lang w:val="pl-PL"/>
        </w:rPr>
        <w:t>1</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FECC718" w:rsidR="00C87749" w:rsidRPr="003F0124"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7F10CF">
      <w:pPr>
        <w:pStyle w:val="pkt"/>
        <w:numPr>
          <w:ilvl w:val="0"/>
          <w:numId w:val="42"/>
        </w:numPr>
        <w:tabs>
          <w:tab w:val="left" w:pos="993"/>
          <w:tab w:val="left" w:pos="1701"/>
        </w:tabs>
        <w:autoSpaceDE w:val="0"/>
        <w:autoSpaceDN w:val="0"/>
        <w:spacing w:before="0" w:after="0" w:line="276" w:lineRule="auto"/>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7F10CF">
      <w:pPr>
        <w:spacing w:line="276" w:lineRule="auto"/>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7C3EDA99" w:rsidR="00F133F6" w:rsidRPr="007D25FA" w:rsidRDefault="00F133F6" w:rsidP="007F10CF">
      <w:pPr>
        <w:pStyle w:val="Akapitzlist"/>
        <w:numPr>
          <w:ilvl w:val="0"/>
          <w:numId w:val="56"/>
        </w:numPr>
        <w:spacing w:line="276" w:lineRule="auto"/>
        <w:ind w:left="1276" w:hanging="283"/>
        <w:rPr>
          <w:rFonts w:ascii="Verdana" w:hAnsi="Verdana"/>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polegające na</w:t>
      </w:r>
      <w:r w:rsidR="00EE2F09">
        <w:rPr>
          <w:rFonts w:ascii="Verdana" w:eastAsia="Calibri" w:hAnsi="Verdana" w:cs="Tahoma"/>
          <w:sz w:val="18"/>
          <w:szCs w:val="18"/>
        </w:rPr>
        <w:t xml:space="preserve"> budowie </w:t>
      </w:r>
      <w:r w:rsidR="00EE2F09" w:rsidRPr="00F845F3">
        <w:rPr>
          <w:rFonts w:ascii="Verdana" w:eastAsia="Calibri" w:hAnsi="Verdana" w:cs="Tahoma"/>
          <w:color w:val="0070C0"/>
          <w:sz w:val="18"/>
          <w:szCs w:val="18"/>
        </w:rPr>
        <w:t>budynku pasywnego</w:t>
      </w:r>
      <w:bookmarkStart w:id="1" w:name="_Hlk23941487"/>
      <w:r w:rsidR="00F34D02" w:rsidRPr="00F845F3">
        <w:rPr>
          <w:rFonts w:ascii="Verdana" w:eastAsia="Calibri" w:hAnsi="Verdana" w:cs="Tahoma"/>
          <w:color w:val="0070C0"/>
          <w:sz w:val="18"/>
          <w:szCs w:val="18"/>
          <w:vertAlign w:val="superscript"/>
        </w:rPr>
        <w:t>*)</w:t>
      </w:r>
      <w:bookmarkEnd w:id="1"/>
      <w:r w:rsidR="00EE2F09" w:rsidRPr="00F845F3">
        <w:rPr>
          <w:rFonts w:ascii="Verdana" w:eastAsia="Calibri" w:hAnsi="Verdana" w:cs="Tahoma"/>
          <w:color w:val="0070C0"/>
          <w:sz w:val="18"/>
          <w:szCs w:val="18"/>
        </w:rPr>
        <w:t xml:space="preserve"> </w:t>
      </w:r>
      <w:bookmarkStart w:id="2" w:name="_Hlk5612941"/>
      <w:r w:rsidRPr="00F845F3">
        <w:rPr>
          <w:rFonts w:ascii="Verdana" w:hAnsi="Verdana"/>
          <w:color w:val="0070C0"/>
          <w:sz w:val="18"/>
          <w:szCs w:val="18"/>
        </w:rPr>
        <w:t xml:space="preserve"> </w:t>
      </w:r>
    </w:p>
    <w:p w14:paraId="5C20DDDC" w14:textId="5B285CFF" w:rsidR="00F133F6" w:rsidRPr="00F133F6" w:rsidRDefault="00F133F6" w:rsidP="007F10CF">
      <w:pPr>
        <w:spacing w:line="276" w:lineRule="auto"/>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F10CF">
      <w:pPr>
        <w:spacing w:line="276" w:lineRule="auto"/>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7F10CF">
      <w:pPr>
        <w:spacing w:line="276" w:lineRule="auto"/>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7C07DF5A" w:rsidR="00F133F6" w:rsidRPr="007D25FA" w:rsidRDefault="00F133F6" w:rsidP="007F10CF">
      <w:pPr>
        <w:pStyle w:val="Akapitzlist"/>
        <w:numPr>
          <w:ilvl w:val="0"/>
          <w:numId w:val="56"/>
        </w:numPr>
        <w:spacing w:line="276" w:lineRule="auto"/>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00F34D02">
        <w:rPr>
          <w:rFonts w:ascii="Verdana" w:eastAsia="Calibri" w:hAnsi="Verdana" w:cs="Tahoma"/>
          <w:b/>
          <w:bCs/>
          <w:sz w:val="18"/>
          <w:szCs w:val="18"/>
        </w:rPr>
        <w:t>5</w:t>
      </w:r>
      <w:r w:rsidRPr="007D25FA">
        <w:rPr>
          <w:rFonts w:ascii="Verdana" w:eastAsia="Calibri" w:hAnsi="Verdana" w:cs="Tahoma"/>
          <w:b/>
          <w:bCs/>
          <w:sz w:val="18"/>
          <w:szCs w:val="18"/>
        </w:rPr>
        <w:t xml:space="preserve"> lat</w:t>
      </w:r>
      <w:r w:rsidRPr="007D25FA">
        <w:rPr>
          <w:rFonts w:ascii="Verdana" w:eastAsia="Calibri" w:hAnsi="Verdana" w:cs="Tahoma"/>
          <w:sz w:val="18"/>
          <w:szCs w:val="18"/>
        </w:rPr>
        <w:t xml:space="preserve"> funkcji kierownika budowy na co najmniej dwóch budowach </w:t>
      </w:r>
      <w:r w:rsidR="00F34D02" w:rsidRPr="00F845F3">
        <w:rPr>
          <w:rFonts w:ascii="Verdana" w:eastAsia="Calibri" w:hAnsi="Verdana" w:cs="Tahoma"/>
          <w:color w:val="0070C0"/>
          <w:sz w:val="18"/>
          <w:szCs w:val="18"/>
        </w:rPr>
        <w:t>budynku pasywnego</w:t>
      </w:r>
      <w:r w:rsidR="00F34D02" w:rsidRPr="00F34D02">
        <w:rPr>
          <w:rFonts w:ascii="Verdana" w:eastAsia="Calibri" w:hAnsi="Verdana" w:cs="Tahoma"/>
          <w:color w:val="0070C0"/>
          <w:sz w:val="18"/>
          <w:szCs w:val="18"/>
          <w:vertAlign w:val="superscript"/>
        </w:rPr>
        <w:t>*)</w:t>
      </w:r>
      <w:r w:rsidR="00F34D02">
        <w:rPr>
          <w:rFonts w:ascii="Verdana" w:eastAsia="Calibri" w:hAnsi="Verdana" w:cs="Tahoma"/>
          <w:sz w:val="18"/>
          <w:szCs w:val="18"/>
        </w:rPr>
        <w:t xml:space="preserve">.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5.000.000,00 zł brutto</w:t>
      </w:r>
      <w:r w:rsidRPr="007D25FA">
        <w:rPr>
          <w:rFonts w:ascii="Verdana" w:eastAsia="Calibri" w:hAnsi="Verdana" w:cs="Tahoma"/>
          <w:sz w:val="18"/>
          <w:szCs w:val="18"/>
        </w:rPr>
        <w:t xml:space="preserve"> każda.</w:t>
      </w:r>
    </w:p>
    <w:p w14:paraId="5B4461C1" w14:textId="6C9CE85F" w:rsidR="00F133F6" w:rsidRDefault="007D25FA" w:rsidP="007F10CF">
      <w:pPr>
        <w:pStyle w:val="pkt"/>
        <w:tabs>
          <w:tab w:val="left" w:pos="993"/>
        </w:tabs>
        <w:autoSpaceDE w:val="0"/>
        <w:autoSpaceDN w:val="0"/>
        <w:spacing w:before="0" w:after="0" w:line="276" w:lineRule="auto"/>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6806FEB2" w14:textId="5D570132" w:rsidR="00F34D02" w:rsidRPr="00F34D02" w:rsidRDefault="00F34D02" w:rsidP="007F10CF">
      <w:pPr>
        <w:pStyle w:val="pkt"/>
        <w:tabs>
          <w:tab w:val="left" w:pos="993"/>
        </w:tabs>
        <w:autoSpaceDE w:val="0"/>
        <w:autoSpaceDN w:val="0"/>
        <w:spacing w:before="0" w:after="0" w:line="276" w:lineRule="auto"/>
        <w:ind w:left="1276"/>
        <w:rPr>
          <w:rFonts w:ascii="Verdana" w:hAnsi="Verdana"/>
          <w:i/>
          <w:iCs/>
          <w:color w:val="0070C0"/>
          <w:sz w:val="18"/>
          <w:szCs w:val="18"/>
        </w:rPr>
      </w:pPr>
      <w:bookmarkStart w:id="3" w:name="_Hlk29885685"/>
      <w:r w:rsidRPr="00F34D02">
        <w:rPr>
          <w:rFonts w:ascii="Verdana" w:hAnsi="Verdana"/>
          <w:color w:val="0070C0"/>
          <w:sz w:val="18"/>
          <w:szCs w:val="18"/>
          <w:vertAlign w:val="superscript"/>
        </w:rPr>
        <w:t>*)</w:t>
      </w:r>
      <w:r>
        <w:rPr>
          <w:rFonts w:ascii="Verdana" w:hAnsi="Verdana"/>
          <w:sz w:val="18"/>
          <w:szCs w:val="18"/>
        </w:rPr>
        <w:t xml:space="preserve"> </w:t>
      </w:r>
      <w:r w:rsidRPr="00F34D02">
        <w:rPr>
          <w:rFonts w:ascii="Verdana" w:hAnsi="Verdana"/>
          <w:i/>
          <w:iCs/>
          <w:color w:val="0070C0"/>
          <w:sz w:val="18"/>
          <w:szCs w:val="18"/>
        </w:rPr>
        <w:t>Budynek pasywny musi spełnić poniższe kryteria:</w:t>
      </w:r>
    </w:p>
    <w:p w14:paraId="6F65F15D" w14:textId="16B13C6B"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z</w:t>
      </w:r>
      <w:r w:rsidR="00F34D02" w:rsidRPr="00F34D02">
        <w:rPr>
          <w:rFonts w:ascii="Verdana" w:hAnsi="Verdana"/>
          <w:i/>
          <w:iCs/>
          <w:color w:val="0070C0"/>
          <w:sz w:val="18"/>
          <w:szCs w:val="18"/>
        </w:rPr>
        <w:t xml:space="preserve">apotrzebowanie energii do ogrzewania </w:t>
      </w:r>
      <w:r w:rsidRPr="00F34D02">
        <w:rPr>
          <w:rFonts w:ascii="Verdana" w:hAnsi="Verdana"/>
          <w:i/>
          <w:iCs/>
          <w:color w:val="0070C0"/>
          <w:sz w:val="18"/>
          <w:szCs w:val="18"/>
        </w:rPr>
        <w:t>max 15</w:t>
      </w:r>
      <w:r w:rsidR="00F34D02" w:rsidRPr="00F34D02">
        <w:rPr>
          <w:rFonts w:ascii="Verdana" w:hAnsi="Verdana"/>
          <w:i/>
          <w:iCs/>
          <w:color w:val="0070C0"/>
          <w:sz w:val="18"/>
          <w:szCs w:val="18"/>
        </w:rPr>
        <w:t xml:space="preserve"> kWh/(m</w:t>
      </w:r>
      <w:r w:rsidR="00F34D02" w:rsidRPr="00F34D02">
        <w:rPr>
          <w:rFonts w:ascii="Verdana" w:hAnsi="Verdana"/>
          <w:i/>
          <w:iCs/>
          <w:color w:val="0070C0"/>
          <w:sz w:val="18"/>
          <w:szCs w:val="18"/>
          <w:vertAlign w:val="superscript"/>
        </w:rPr>
        <w:t>2</w:t>
      </w:r>
      <w:r w:rsidR="00F34D02" w:rsidRPr="00F34D02">
        <w:rPr>
          <w:rFonts w:ascii="Verdana" w:hAnsi="Verdana"/>
          <w:i/>
          <w:iCs/>
          <w:color w:val="0070C0"/>
          <w:sz w:val="18"/>
          <w:szCs w:val="18"/>
        </w:rPr>
        <w:t>a)</w:t>
      </w:r>
    </w:p>
    <w:p w14:paraId="34E982E8" w14:textId="27428BDE"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s</w:t>
      </w:r>
      <w:r w:rsidR="00F34D02" w:rsidRPr="00F34D02">
        <w:rPr>
          <w:rFonts w:ascii="Verdana" w:hAnsi="Verdana"/>
          <w:i/>
          <w:iCs/>
          <w:color w:val="0070C0"/>
          <w:sz w:val="18"/>
          <w:szCs w:val="18"/>
        </w:rPr>
        <w:t xml:space="preserve">zczelność budynku na przenikanie </w:t>
      </w:r>
      <w:r w:rsidRPr="00F34D02">
        <w:rPr>
          <w:rFonts w:ascii="Verdana" w:hAnsi="Verdana"/>
          <w:i/>
          <w:iCs/>
          <w:color w:val="0070C0"/>
          <w:sz w:val="18"/>
          <w:szCs w:val="18"/>
        </w:rPr>
        <w:t>powietrza n50 max.</w:t>
      </w:r>
      <w:r w:rsidR="00F34D02" w:rsidRPr="00F34D02">
        <w:rPr>
          <w:rFonts w:ascii="Verdana" w:hAnsi="Verdana"/>
          <w:i/>
          <w:iCs/>
          <w:color w:val="0070C0"/>
          <w:sz w:val="18"/>
          <w:szCs w:val="18"/>
        </w:rPr>
        <w:t xml:space="preserve"> 0,6 h </w:t>
      </w:r>
      <w:r w:rsidR="00F34D02" w:rsidRPr="00F34D02">
        <w:rPr>
          <w:rFonts w:ascii="Verdana" w:hAnsi="Verdana"/>
          <w:i/>
          <w:iCs/>
          <w:color w:val="0070C0"/>
          <w:sz w:val="18"/>
          <w:szCs w:val="18"/>
          <w:vertAlign w:val="superscript"/>
        </w:rPr>
        <w:t>-1</w:t>
      </w:r>
    </w:p>
    <w:p w14:paraId="7D4FDD83" w14:textId="799D73D3"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w</w:t>
      </w:r>
      <w:r w:rsidR="00F34D02" w:rsidRPr="00F34D02">
        <w:rPr>
          <w:rFonts w:ascii="Verdana" w:hAnsi="Verdana"/>
          <w:i/>
          <w:iCs/>
          <w:color w:val="0070C0"/>
          <w:sz w:val="18"/>
          <w:szCs w:val="18"/>
        </w:rPr>
        <w:t xml:space="preserve">skaźnik zapotrzebowania energii na </w:t>
      </w:r>
      <w:r w:rsidRPr="00F34D02">
        <w:rPr>
          <w:rFonts w:ascii="Verdana" w:hAnsi="Verdana"/>
          <w:i/>
          <w:iCs/>
          <w:color w:val="0070C0"/>
          <w:sz w:val="18"/>
          <w:szCs w:val="18"/>
        </w:rPr>
        <w:t>chłodzenie max.</w:t>
      </w:r>
      <w:r w:rsidR="00F34D02" w:rsidRPr="00F34D02">
        <w:rPr>
          <w:rFonts w:ascii="Verdana" w:hAnsi="Verdana"/>
          <w:i/>
          <w:iCs/>
          <w:color w:val="0070C0"/>
          <w:sz w:val="18"/>
          <w:szCs w:val="18"/>
        </w:rPr>
        <w:t xml:space="preserve"> 15 kWh/(m</w:t>
      </w:r>
      <w:r w:rsidR="00F34D02" w:rsidRPr="00F34D02">
        <w:rPr>
          <w:rFonts w:ascii="Verdana" w:hAnsi="Verdana"/>
          <w:i/>
          <w:iCs/>
          <w:color w:val="0070C0"/>
          <w:sz w:val="18"/>
          <w:szCs w:val="18"/>
          <w:vertAlign w:val="superscript"/>
        </w:rPr>
        <w:t>2</w:t>
      </w:r>
      <w:r w:rsidR="00F34D02" w:rsidRPr="00F34D02">
        <w:rPr>
          <w:rFonts w:ascii="Verdana" w:hAnsi="Verdana"/>
          <w:i/>
          <w:iCs/>
          <w:color w:val="0070C0"/>
          <w:sz w:val="18"/>
          <w:szCs w:val="18"/>
        </w:rPr>
        <w:t>a)</w:t>
      </w:r>
    </w:p>
    <w:p w14:paraId="7BF1E59E" w14:textId="1F9CE87C" w:rsidR="00F34D02" w:rsidRPr="00F34D02" w:rsidRDefault="00F845F3"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Pr>
          <w:rFonts w:ascii="Verdana" w:hAnsi="Verdana"/>
          <w:i/>
          <w:iCs/>
          <w:color w:val="0070C0"/>
          <w:sz w:val="18"/>
          <w:szCs w:val="18"/>
        </w:rPr>
        <w:t>w</w:t>
      </w:r>
      <w:r w:rsidR="00F34D02" w:rsidRPr="00F34D02">
        <w:rPr>
          <w:rFonts w:ascii="Verdana" w:hAnsi="Verdana"/>
          <w:i/>
          <w:iCs/>
          <w:color w:val="0070C0"/>
          <w:sz w:val="18"/>
          <w:szCs w:val="18"/>
        </w:rPr>
        <w:t xml:space="preserve">skaźnik zapotrzebowania na energię </w:t>
      </w:r>
      <w:r w:rsidRPr="00F34D02">
        <w:rPr>
          <w:rFonts w:ascii="Verdana" w:hAnsi="Verdana"/>
          <w:i/>
          <w:iCs/>
          <w:color w:val="0070C0"/>
          <w:sz w:val="18"/>
          <w:szCs w:val="18"/>
        </w:rPr>
        <w:t>pierwotną max.</w:t>
      </w:r>
      <w:r w:rsidR="00F34D02" w:rsidRPr="00F34D02">
        <w:rPr>
          <w:rFonts w:ascii="Verdana" w:hAnsi="Verdana"/>
          <w:i/>
          <w:iCs/>
          <w:color w:val="0070C0"/>
          <w:sz w:val="18"/>
          <w:szCs w:val="18"/>
        </w:rPr>
        <w:t xml:space="preserve"> 120 kWh/(m</w:t>
      </w:r>
      <w:r w:rsidR="00F34D02" w:rsidRPr="00F34D02">
        <w:rPr>
          <w:rFonts w:ascii="Verdana" w:hAnsi="Verdana"/>
          <w:i/>
          <w:iCs/>
          <w:color w:val="0070C0"/>
          <w:sz w:val="18"/>
          <w:szCs w:val="18"/>
          <w:vertAlign w:val="superscript"/>
        </w:rPr>
        <w:t>2</w:t>
      </w:r>
      <w:r w:rsidR="00F34D02" w:rsidRPr="00F34D02">
        <w:rPr>
          <w:rFonts w:ascii="Verdana" w:hAnsi="Verdana"/>
          <w:i/>
          <w:iCs/>
          <w:color w:val="0070C0"/>
          <w:sz w:val="18"/>
          <w:szCs w:val="18"/>
        </w:rPr>
        <w:t>a)</w:t>
      </w:r>
    </w:p>
    <w:p w14:paraId="0A02E87F" w14:textId="2AC92995"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 xml:space="preserve">współczynnik przenikania ciepła dla przegród </w:t>
      </w:r>
      <w:r w:rsidR="00F845F3" w:rsidRPr="00F34D02">
        <w:rPr>
          <w:rFonts w:ascii="Verdana" w:hAnsi="Verdana"/>
          <w:i/>
          <w:iCs/>
          <w:color w:val="0070C0"/>
          <w:sz w:val="18"/>
          <w:szCs w:val="18"/>
        </w:rPr>
        <w:t>zewnętrznych U</w:t>
      </w:r>
      <w:r w:rsidRPr="00F34D02">
        <w:rPr>
          <w:rFonts w:ascii="Verdana" w:hAnsi="Verdana"/>
          <w:i/>
          <w:iCs/>
          <w:color w:val="0070C0"/>
          <w:sz w:val="18"/>
          <w:szCs w:val="18"/>
        </w:rPr>
        <w:t>≤ 0,15 W/(m</w:t>
      </w:r>
      <w:r w:rsidRPr="00F34D02">
        <w:rPr>
          <w:rFonts w:ascii="Verdana" w:hAnsi="Verdana"/>
          <w:i/>
          <w:iCs/>
          <w:color w:val="0070C0"/>
          <w:sz w:val="18"/>
          <w:szCs w:val="18"/>
          <w:vertAlign w:val="superscript"/>
        </w:rPr>
        <w:t>2 </w:t>
      </w:r>
      <w:r w:rsidRPr="00F34D02">
        <w:rPr>
          <w:rFonts w:ascii="Verdana" w:hAnsi="Verdana"/>
          <w:i/>
          <w:iCs/>
          <w:color w:val="0070C0"/>
          <w:sz w:val="18"/>
          <w:szCs w:val="18"/>
        </w:rPr>
        <w:t>*K)</w:t>
      </w:r>
    </w:p>
    <w:p w14:paraId="2C9DFA9F" w14:textId="4DABEE15"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współczynnik przenikania ciepła dla okien (szyba + rama)  U≤ 0,80 W/(m</w:t>
      </w:r>
      <w:r w:rsidRPr="00F34D02">
        <w:rPr>
          <w:rFonts w:ascii="Verdana" w:hAnsi="Verdana"/>
          <w:i/>
          <w:iCs/>
          <w:color w:val="0070C0"/>
          <w:sz w:val="18"/>
          <w:szCs w:val="18"/>
          <w:vertAlign w:val="superscript"/>
        </w:rPr>
        <w:t>2</w:t>
      </w:r>
      <w:r w:rsidRPr="00F34D02">
        <w:rPr>
          <w:rFonts w:ascii="Verdana" w:hAnsi="Verdana"/>
          <w:i/>
          <w:iCs/>
          <w:color w:val="0070C0"/>
          <w:sz w:val="18"/>
          <w:szCs w:val="18"/>
        </w:rPr>
        <w:t> *K)</w:t>
      </w:r>
    </w:p>
    <w:p w14:paraId="43A47F3A" w14:textId="526837E1"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temperatura powietrza przy wewnętrznej powierzchni szyby t≥17°C</w:t>
      </w:r>
    </w:p>
    <w:p w14:paraId="18B1A944" w14:textId="7FA7663A" w:rsidR="00F34D02" w:rsidRPr="00F34D02"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 xml:space="preserve">przegrody zewnętrzne przeźroczyste o współczynniku całkowitej przepuszczalności </w:t>
      </w:r>
      <w:r w:rsidR="00F845F3" w:rsidRPr="00F34D02">
        <w:rPr>
          <w:rFonts w:ascii="Verdana" w:hAnsi="Verdana"/>
          <w:i/>
          <w:iCs/>
          <w:color w:val="0070C0"/>
          <w:sz w:val="18"/>
          <w:szCs w:val="18"/>
        </w:rPr>
        <w:t>promieniowania słonecznego</w:t>
      </w:r>
      <w:r w:rsidRPr="00F34D02">
        <w:rPr>
          <w:rFonts w:ascii="Verdana" w:hAnsi="Verdana"/>
          <w:i/>
          <w:iCs/>
          <w:color w:val="0070C0"/>
          <w:sz w:val="18"/>
          <w:szCs w:val="18"/>
        </w:rPr>
        <w:t xml:space="preserve"> powyżej 0,5</w:t>
      </w:r>
    </w:p>
    <w:p w14:paraId="5A8B7534" w14:textId="54B8B9F9" w:rsidR="00F34D02" w:rsidRPr="00F845F3" w:rsidRDefault="00F34D02" w:rsidP="007F10CF">
      <w:pPr>
        <w:pStyle w:val="pkt"/>
        <w:numPr>
          <w:ilvl w:val="0"/>
          <w:numId w:val="70"/>
        </w:numPr>
        <w:tabs>
          <w:tab w:val="left" w:pos="993"/>
        </w:tabs>
        <w:autoSpaceDE w:val="0"/>
        <w:autoSpaceDN w:val="0"/>
        <w:spacing w:before="0" w:after="0" w:line="276" w:lineRule="auto"/>
        <w:rPr>
          <w:rFonts w:ascii="Verdana" w:hAnsi="Verdana"/>
          <w:i/>
          <w:iCs/>
          <w:color w:val="0070C0"/>
          <w:sz w:val="18"/>
          <w:szCs w:val="18"/>
        </w:rPr>
      </w:pPr>
      <w:r w:rsidRPr="00F34D02">
        <w:rPr>
          <w:rFonts w:ascii="Verdana" w:hAnsi="Verdana"/>
          <w:i/>
          <w:iCs/>
          <w:color w:val="0070C0"/>
          <w:sz w:val="18"/>
          <w:szCs w:val="18"/>
        </w:rPr>
        <w:t>zastosowane w instalacji wentylacji mechanicznej urządzenia z odzyskiem ciepła</w:t>
      </w:r>
      <w:r w:rsidR="00F845F3" w:rsidRPr="00F845F3">
        <w:rPr>
          <w:rFonts w:ascii="Verdana" w:hAnsi="Verdana"/>
          <w:i/>
          <w:iCs/>
          <w:color w:val="0070C0"/>
          <w:sz w:val="18"/>
          <w:szCs w:val="18"/>
        </w:rPr>
        <w:t xml:space="preserve"> o</w:t>
      </w:r>
      <w:r w:rsidR="00F845F3">
        <w:rPr>
          <w:rFonts w:ascii="Verdana" w:hAnsi="Verdana"/>
          <w:i/>
          <w:iCs/>
          <w:color w:val="0070C0"/>
          <w:sz w:val="18"/>
          <w:szCs w:val="18"/>
        </w:rPr>
        <w:t xml:space="preserve"> </w:t>
      </w:r>
      <w:r w:rsidRPr="00F845F3">
        <w:rPr>
          <w:rFonts w:ascii="Verdana" w:hAnsi="Verdana"/>
          <w:i/>
          <w:iCs/>
          <w:color w:val="0070C0"/>
          <w:sz w:val="18"/>
          <w:szCs w:val="18"/>
        </w:rPr>
        <w:t>sprawności min. 75%.</w:t>
      </w:r>
    </w:p>
    <w:bookmarkEnd w:id="3"/>
    <w:p w14:paraId="67B65D64" w14:textId="77777777" w:rsidR="00F845F3" w:rsidRPr="00F34D02" w:rsidRDefault="00F845F3" w:rsidP="007F10CF">
      <w:pPr>
        <w:pStyle w:val="pkt"/>
        <w:tabs>
          <w:tab w:val="left" w:pos="993"/>
        </w:tabs>
        <w:autoSpaceDE w:val="0"/>
        <w:autoSpaceDN w:val="0"/>
        <w:spacing w:before="0" w:after="0" w:line="276" w:lineRule="auto"/>
        <w:ind w:left="2716"/>
        <w:rPr>
          <w:rFonts w:ascii="Verdana" w:hAnsi="Verdana"/>
          <w:i/>
          <w:iCs/>
          <w:color w:val="0070C0"/>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4"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4"/>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5" w:name="_Hlk18563298"/>
      <w:r w:rsidRPr="00205629">
        <w:rPr>
          <w:rFonts w:ascii="Verdana" w:hAnsi="Verdana" w:cs="Arial"/>
          <w:sz w:val="18"/>
          <w:szCs w:val="18"/>
        </w:rPr>
        <w:t xml:space="preserve">podmiotów </w:t>
      </w:r>
      <w:bookmarkEnd w:id="5"/>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6"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7F10CF">
      <w:pPr>
        <w:numPr>
          <w:ilvl w:val="0"/>
          <w:numId w:val="46"/>
        </w:numPr>
        <w:tabs>
          <w:tab w:val="left" w:pos="1134"/>
        </w:tabs>
        <w:autoSpaceDE w:val="0"/>
        <w:autoSpaceDN w:val="0"/>
        <w:spacing w:line="276" w:lineRule="auto"/>
        <w:rPr>
          <w:rFonts w:ascii="Verdana" w:hAnsi="Verdana" w:cs="Arial"/>
          <w:sz w:val="18"/>
          <w:szCs w:val="18"/>
        </w:rPr>
      </w:pPr>
      <w:bookmarkStart w:id="7"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7"/>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8"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6"/>
    <w:bookmarkEnd w:id="8"/>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9" w:name="_Hlk2670399"/>
      <w:r w:rsidRPr="00175BA6">
        <w:rPr>
          <w:rFonts w:ascii="Verdana" w:hAnsi="Verdana" w:cs="Arial"/>
          <w:sz w:val="18"/>
          <w:szCs w:val="18"/>
        </w:rPr>
        <w:t xml:space="preserve">oryginał dokumentu wadium </w:t>
      </w:r>
      <w:bookmarkEnd w:id="9"/>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wystawiającej/cych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10"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0"/>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7F10CF">
      <w:pPr>
        <w:numPr>
          <w:ilvl w:val="0"/>
          <w:numId w:val="46"/>
        </w:numPr>
        <w:tabs>
          <w:tab w:val="left" w:pos="993"/>
        </w:tabs>
        <w:autoSpaceDE w:val="0"/>
        <w:autoSpaceDN w:val="0"/>
        <w:spacing w:line="276" w:lineRule="auto"/>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1" w:name="_Hlk3291615"/>
      <w:r w:rsidR="00E37E28" w:rsidRPr="00E37E28">
        <w:rPr>
          <w:rFonts w:ascii="Verdana" w:hAnsi="Verdana"/>
          <w:b/>
          <w:sz w:val="18"/>
          <w:szCs w:val="18"/>
        </w:rPr>
        <w:t>o niezaleganiu z opłacaniem podatków i opłat lokalnych</w:t>
      </w:r>
      <w:bookmarkEnd w:id="11"/>
      <w:r w:rsidR="00E37E28" w:rsidRPr="00E37E28">
        <w:rPr>
          <w:rFonts w:ascii="Verdana" w:hAnsi="Verdana"/>
          <w:sz w:val="18"/>
          <w:szCs w:val="18"/>
        </w:rPr>
        <w:t xml:space="preserve">, o których mowa w ustawie z dnia 12 stycznia 1991 r. o podatkach i opłatach lokalnych (Dz.U.2016.716) </w:t>
      </w:r>
      <w:bookmarkStart w:id="12"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2"/>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7283B0B"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F845F3" w:rsidRPr="00AB7517">
        <w:rPr>
          <w:rFonts w:ascii="Verdana" w:hAnsi="Verdana" w:cs="Arial"/>
          <w:b/>
          <w:sz w:val="18"/>
          <w:szCs w:val="18"/>
        </w:rPr>
        <w:t>17</w:t>
      </w:r>
      <w:r w:rsidR="00952D0A" w:rsidRPr="00AB7517">
        <w:rPr>
          <w:rFonts w:ascii="Verdana" w:hAnsi="Verdana" w:cs="Arial"/>
          <w:b/>
          <w:sz w:val="18"/>
          <w:szCs w:val="18"/>
        </w:rPr>
        <w:t>.</w:t>
      </w:r>
      <w:r w:rsidR="00AB7517" w:rsidRPr="00AB7517">
        <w:rPr>
          <w:rFonts w:ascii="Verdana" w:hAnsi="Verdana" w:cs="Arial"/>
          <w:b/>
          <w:sz w:val="18"/>
          <w:szCs w:val="18"/>
        </w:rPr>
        <w:t>0</w:t>
      </w:r>
      <w:r w:rsidR="001303AE" w:rsidRPr="00AB7517">
        <w:rPr>
          <w:rFonts w:ascii="Verdana" w:hAnsi="Verdana" w:cs="Arial"/>
          <w:b/>
          <w:sz w:val="18"/>
          <w:szCs w:val="18"/>
        </w:rPr>
        <w:t>2</w:t>
      </w:r>
      <w:r w:rsidR="00952D0A" w:rsidRPr="00AB7517">
        <w:rPr>
          <w:rFonts w:ascii="Verdana" w:hAnsi="Verdana" w:cs="Arial"/>
          <w:b/>
          <w:sz w:val="18"/>
          <w:szCs w:val="18"/>
        </w:rPr>
        <w:t>.20</w:t>
      </w:r>
      <w:r w:rsidR="00AB7517" w:rsidRPr="00AB7517">
        <w:rPr>
          <w:rFonts w:ascii="Verdana" w:hAnsi="Verdana" w:cs="Arial"/>
          <w:b/>
          <w:sz w:val="18"/>
          <w:szCs w:val="18"/>
        </w:rPr>
        <w:t>20</w:t>
      </w:r>
      <w:r w:rsidR="00952D0A" w:rsidRPr="00AB7517">
        <w:rPr>
          <w:rFonts w:ascii="Verdana" w:hAnsi="Verdana" w:cs="Arial"/>
          <w:b/>
          <w:sz w:val="18"/>
          <w:szCs w:val="18"/>
        </w:rPr>
        <w:t xml:space="preserve"> r. godz. 1</w:t>
      </w:r>
      <w:r w:rsidR="00AB7517" w:rsidRPr="00AB7517">
        <w:rPr>
          <w:rFonts w:ascii="Verdana" w:hAnsi="Verdana" w:cs="Arial"/>
          <w:b/>
          <w:sz w:val="18"/>
          <w:szCs w:val="18"/>
        </w:rPr>
        <w:t>0</w:t>
      </w:r>
      <w:r w:rsidR="00952D0A" w:rsidRPr="00AB7517">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61FCAC80"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F845F3" w:rsidRPr="00AB7517">
        <w:rPr>
          <w:rFonts w:ascii="Verdana" w:hAnsi="Verdana" w:cs="Arial"/>
          <w:b/>
          <w:sz w:val="18"/>
          <w:szCs w:val="18"/>
        </w:rPr>
        <w:t>17</w:t>
      </w:r>
      <w:r w:rsidRPr="00AB7517">
        <w:rPr>
          <w:rFonts w:ascii="Verdana" w:hAnsi="Verdana" w:cs="Arial"/>
          <w:b/>
          <w:sz w:val="18"/>
          <w:szCs w:val="18"/>
        </w:rPr>
        <w:t>.</w:t>
      </w:r>
      <w:r w:rsidR="00AB7517" w:rsidRPr="00AB7517">
        <w:rPr>
          <w:rFonts w:ascii="Verdana" w:hAnsi="Verdana" w:cs="Arial"/>
          <w:b/>
          <w:sz w:val="18"/>
          <w:szCs w:val="18"/>
        </w:rPr>
        <w:t>0</w:t>
      </w:r>
      <w:r w:rsidR="001303AE" w:rsidRPr="00AB7517">
        <w:rPr>
          <w:rFonts w:ascii="Verdana" w:hAnsi="Verdana" w:cs="Arial"/>
          <w:b/>
          <w:sz w:val="18"/>
          <w:szCs w:val="18"/>
        </w:rPr>
        <w:t>2</w:t>
      </w:r>
      <w:r w:rsidRPr="00AB7517">
        <w:rPr>
          <w:rFonts w:ascii="Verdana" w:hAnsi="Verdana" w:cs="Arial"/>
          <w:b/>
          <w:sz w:val="18"/>
          <w:szCs w:val="18"/>
        </w:rPr>
        <w:t>.20</w:t>
      </w:r>
      <w:r w:rsidR="00AB7517" w:rsidRPr="00AB7517">
        <w:rPr>
          <w:rFonts w:ascii="Verdana" w:hAnsi="Verdana" w:cs="Arial"/>
          <w:b/>
          <w:sz w:val="18"/>
          <w:szCs w:val="18"/>
        </w:rPr>
        <w:t>20</w:t>
      </w:r>
      <w:r w:rsidRPr="00AB7517">
        <w:rPr>
          <w:rFonts w:ascii="Verdana" w:hAnsi="Verdana" w:cs="Arial"/>
          <w:b/>
          <w:sz w:val="18"/>
          <w:szCs w:val="18"/>
        </w:rPr>
        <w:t xml:space="preserve"> r. godz. 1</w:t>
      </w:r>
      <w:r w:rsidR="00AB7517" w:rsidRPr="00AB7517">
        <w:rPr>
          <w:rFonts w:ascii="Verdana" w:hAnsi="Verdana" w:cs="Arial"/>
          <w:b/>
          <w:sz w:val="18"/>
          <w:szCs w:val="18"/>
        </w:rPr>
        <w:t>1</w:t>
      </w:r>
      <w:r w:rsidRPr="00AB7517">
        <w:rPr>
          <w:rFonts w:ascii="Verdana" w:hAnsi="Verdana" w:cs="Arial"/>
          <w:b/>
          <w:sz w:val="18"/>
          <w:szCs w:val="18"/>
        </w:rPr>
        <w:t xml:space="preserve">.00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0911A3D4" w14:textId="04C6AB73" w:rsidR="00AB7517" w:rsidRDefault="00AB7517" w:rsidP="00B56060">
      <w:pPr>
        <w:pStyle w:val="pkt"/>
        <w:autoSpaceDE w:val="0"/>
        <w:autoSpaceDN w:val="0"/>
        <w:spacing w:before="0" w:after="0"/>
        <w:ind w:left="578"/>
        <w:rPr>
          <w:rFonts w:ascii="Verdana" w:hAnsi="Verdana" w:cs="Arial"/>
          <w:sz w:val="18"/>
          <w:szCs w:val="18"/>
        </w:rPr>
      </w:pPr>
    </w:p>
    <w:p w14:paraId="54AC0D6E" w14:textId="678C06B5" w:rsidR="00AB7517" w:rsidRDefault="00AB7517" w:rsidP="00B56060">
      <w:pPr>
        <w:pStyle w:val="pkt"/>
        <w:autoSpaceDE w:val="0"/>
        <w:autoSpaceDN w:val="0"/>
        <w:spacing w:before="0" w:after="0"/>
        <w:ind w:left="578"/>
        <w:rPr>
          <w:rFonts w:ascii="Verdana" w:hAnsi="Verdana" w:cs="Arial"/>
          <w:sz w:val="18"/>
          <w:szCs w:val="18"/>
        </w:rPr>
      </w:pPr>
    </w:p>
    <w:p w14:paraId="01EA2E1E" w14:textId="0FF7D8A4" w:rsidR="00AB7517" w:rsidRDefault="00AB7517" w:rsidP="00B56060">
      <w:pPr>
        <w:pStyle w:val="pkt"/>
        <w:autoSpaceDE w:val="0"/>
        <w:autoSpaceDN w:val="0"/>
        <w:spacing w:before="0" w:after="0"/>
        <w:ind w:left="578"/>
        <w:rPr>
          <w:rFonts w:ascii="Verdana" w:hAnsi="Verdana" w:cs="Arial"/>
          <w:sz w:val="18"/>
          <w:szCs w:val="18"/>
        </w:rPr>
      </w:pPr>
    </w:p>
    <w:p w14:paraId="323ED7B5" w14:textId="2FE61A37" w:rsidR="00AB7517" w:rsidRDefault="00AB7517" w:rsidP="00B56060">
      <w:pPr>
        <w:pStyle w:val="pkt"/>
        <w:autoSpaceDE w:val="0"/>
        <w:autoSpaceDN w:val="0"/>
        <w:spacing w:before="0" w:after="0"/>
        <w:ind w:left="578"/>
        <w:rPr>
          <w:rFonts w:ascii="Verdana" w:hAnsi="Verdana" w:cs="Arial"/>
          <w:sz w:val="18"/>
          <w:szCs w:val="18"/>
        </w:rPr>
      </w:pPr>
    </w:p>
    <w:p w14:paraId="29887331" w14:textId="71279298" w:rsidR="00AB7517" w:rsidRDefault="00AB7517" w:rsidP="00B56060">
      <w:pPr>
        <w:pStyle w:val="pkt"/>
        <w:autoSpaceDE w:val="0"/>
        <w:autoSpaceDN w:val="0"/>
        <w:spacing w:before="0" w:after="0"/>
        <w:ind w:left="578"/>
        <w:rPr>
          <w:rFonts w:ascii="Verdana" w:hAnsi="Verdana" w:cs="Arial"/>
          <w:sz w:val="18"/>
          <w:szCs w:val="18"/>
        </w:rPr>
      </w:pPr>
    </w:p>
    <w:p w14:paraId="162FCE0D" w14:textId="430093E0" w:rsidR="00225CDD" w:rsidRDefault="00225CDD" w:rsidP="00B56060">
      <w:pPr>
        <w:pStyle w:val="pkt"/>
        <w:autoSpaceDE w:val="0"/>
        <w:autoSpaceDN w:val="0"/>
        <w:spacing w:before="0" w:after="0"/>
        <w:ind w:left="578"/>
        <w:rPr>
          <w:rFonts w:ascii="Verdana" w:hAnsi="Verdana" w:cs="Arial"/>
          <w:sz w:val="18"/>
          <w:szCs w:val="18"/>
        </w:rPr>
      </w:pPr>
    </w:p>
    <w:p w14:paraId="0835D956" w14:textId="77777777" w:rsidR="00225CDD" w:rsidRDefault="00225CDD" w:rsidP="00B56060">
      <w:pPr>
        <w:pStyle w:val="pkt"/>
        <w:autoSpaceDE w:val="0"/>
        <w:autoSpaceDN w:val="0"/>
        <w:spacing w:before="0" w:after="0"/>
        <w:ind w:left="578"/>
        <w:rPr>
          <w:rFonts w:ascii="Verdana" w:hAnsi="Verdana" w:cs="Arial"/>
          <w:sz w:val="18"/>
          <w:szCs w:val="18"/>
        </w:rPr>
      </w:pPr>
    </w:p>
    <w:p w14:paraId="1665E1C7" w14:textId="5D935F8A" w:rsidR="00AB7517" w:rsidRDefault="00AB7517"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3" w:name="_Hlk29883780"/>
            <w:r>
              <w:rPr>
                <w:rFonts w:ascii="Verdana" w:eastAsia="ヒラギノ角ゴ Pro W3" w:hAnsi="Verdana"/>
                <w:sz w:val="18"/>
                <w:lang w:eastAsia="en-US"/>
              </w:rPr>
              <w:t xml:space="preserve">Wydłużenie </w:t>
            </w:r>
            <w:bookmarkEnd w:id="13"/>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w:t>
      </w:r>
      <w:r w:rsidRPr="00B56060">
        <w:rPr>
          <w:rFonts w:ascii="Verdana" w:hAnsi="Verdana" w:cs="Arial"/>
          <w:sz w:val="18"/>
          <w:szCs w:val="18"/>
          <w:vertAlign w:val="subscript"/>
        </w:rPr>
        <w:t>n</w:t>
      </w:r>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4"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4"/>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0573DA55" w14:textId="488BA248" w:rsidR="00AB7517" w:rsidRDefault="00AB7517" w:rsidP="007F10CF">
      <w:pPr>
        <w:widowControl w:val="0"/>
        <w:autoSpaceDE w:val="0"/>
        <w:autoSpaceDN w:val="0"/>
        <w:spacing w:line="276" w:lineRule="auto"/>
        <w:ind w:left="567"/>
        <w:rPr>
          <w:rFonts w:ascii="Verdana" w:hAnsi="Verdana" w:cs="Arial"/>
          <w:sz w:val="18"/>
          <w:szCs w:val="18"/>
        </w:rPr>
      </w:pPr>
    </w:p>
    <w:p w14:paraId="2FDD6EDC" w14:textId="5CF2CB6E" w:rsidR="00AB7517" w:rsidRDefault="00AB7517" w:rsidP="007F10CF">
      <w:pPr>
        <w:widowControl w:val="0"/>
        <w:autoSpaceDE w:val="0"/>
        <w:autoSpaceDN w:val="0"/>
        <w:spacing w:line="276" w:lineRule="auto"/>
        <w:ind w:left="567"/>
        <w:rPr>
          <w:rFonts w:ascii="Verdana" w:hAnsi="Verdana" w:cs="Arial"/>
          <w:sz w:val="18"/>
          <w:szCs w:val="18"/>
        </w:rPr>
      </w:pPr>
    </w:p>
    <w:p w14:paraId="69732F2C" w14:textId="02E5A0A0" w:rsidR="00AB7517" w:rsidRDefault="00AB7517" w:rsidP="007F10CF">
      <w:pPr>
        <w:widowControl w:val="0"/>
        <w:autoSpaceDE w:val="0"/>
        <w:autoSpaceDN w:val="0"/>
        <w:spacing w:line="276" w:lineRule="auto"/>
        <w:ind w:left="567"/>
        <w:rPr>
          <w:rFonts w:ascii="Verdana" w:hAnsi="Verdana" w:cs="Arial"/>
          <w:sz w:val="18"/>
          <w:szCs w:val="18"/>
        </w:rPr>
      </w:pPr>
    </w:p>
    <w:p w14:paraId="3E4FD458" w14:textId="179212FC" w:rsidR="00AB7517" w:rsidRDefault="00AB7517"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E70D312" w14:textId="695E1867" w:rsidR="00AB7517" w:rsidRDefault="00AB7517" w:rsidP="002B04A2">
      <w:pPr>
        <w:pStyle w:val="pkt"/>
        <w:autoSpaceDE w:val="0"/>
        <w:autoSpaceDN w:val="0"/>
        <w:spacing w:before="0" w:after="0"/>
        <w:rPr>
          <w:rFonts w:ascii="Verdana" w:hAnsi="Verdana" w:cs="Arial"/>
          <w:sz w:val="18"/>
          <w:szCs w:val="18"/>
        </w:rPr>
      </w:pPr>
    </w:p>
    <w:p w14:paraId="59DB1077" w14:textId="44139865" w:rsidR="00AB7517" w:rsidRDefault="00AB7517" w:rsidP="002B04A2">
      <w:pPr>
        <w:pStyle w:val="pkt"/>
        <w:autoSpaceDE w:val="0"/>
        <w:autoSpaceDN w:val="0"/>
        <w:spacing w:before="0" w:after="0"/>
        <w:rPr>
          <w:rFonts w:ascii="Verdana" w:hAnsi="Verdana" w:cs="Arial"/>
          <w:sz w:val="18"/>
          <w:szCs w:val="18"/>
        </w:rPr>
      </w:pPr>
    </w:p>
    <w:p w14:paraId="3ECA3B80" w14:textId="77777777" w:rsidR="00AB7517" w:rsidRDefault="00AB7517"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5"/>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0F986CD5"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elektryczne: wewnętrzne, zewnętrzne, BMS</w:t>
      </w:r>
      <w:r w:rsidR="00DF64AB">
        <w:rPr>
          <w:rFonts w:ascii="Verdana" w:hAnsi="Verdana" w:cs="Arial"/>
          <w:sz w:val="18"/>
          <w:szCs w:val="18"/>
        </w:rPr>
        <w:t>, AKPiA</w:t>
      </w:r>
      <w:r w:rsidRPr="00465C46">
        <w:rPr>
          <w:rFonts w:ascii="Verdana" w:hAnsi="Verdana" w:cs="Arial"/>
          <w:sz w:val="18"/>
          <w:szCs w:val="18"/>
        </w:rPr>
        <w:t>;</w:t>
      </w:r>
    </w:p>
    <w:p w14:paraId="44270D2C" w14:textId="2D91C0A9"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teletechniczne: System Sygnalizacji Pożaru (SSP), System Kontroli Dostępu (SKD), System Nadzoru Telewizyjnego (CCTV), System Sygnalizacji Włamania i Napadu (SSWiN), sieć okablowania strukturalnego, urządzenia aktywne LAN;</w:t>
      </w:r>
    </w:p>
    <w:p w14:paraId="29312342" w14:textId="60DE96AE"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r w:rsidR="00DF64AB">
        <w:rPr>
          <w:rFonts w:ascii="Verdana" w:hAnsi="Verdana" w:cs="Arial"/>
          <w:sz w:val="18"/>
          <w:szCs w:val="18"/>
        </w:rPr>
        <w:t>, 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Open Nexus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6"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wentylacja AKPiA</w:t>
      </w:r>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6"/>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010E1A8D"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kosztorys nakłądczy instalacja trigeneracji,</w:t>
      </w:r>
      <w:bookmarkStart w:id="17" w:name="_GoBack"/>
      <w:bookmarkEnd w:id="17"/>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B1BAE0F"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7F10CF">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A509" w14:textId="77777777" w:rsidR="0033276A" w:rsidRDefault="0033276A" w:rsidP="00DF607E">
      <w:r>
        <w:separator/>
      </w:r>
    </w:p>
  </w:endnote>
  <w:endnote w:type="continuationSeparator" w:id="0">
    <w:p w14:paraId="56B97B64" w14:textId="77777777" w:rsidR="0033276A" w:rsidRDefault="0033276A"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EndPr/>
    <w:sdtContent>
      <w:p w14:paraId="21D07127" w14:textId="1B326AC4" w:rsidR="00B85D5D" w:rsidRPr="007F10CF" w:rsidRDefault="00B85D5D" w:rsidP="007F10CF">
        <w:pPr>
          <w:pStyle w:val="Stopka"/>
          <w:tabs>
            <w:tab w:val="clear" w:pos="9072"/>
            <w:tab w:val="right" w:pos="9639"/>
          </w:tabs>
          <w:ind w:left="0"/>
        </w:pPr>
        <w:r w:rsidRPr="007F10CF">
          <w:tab/>
        </w:r>
        <w:r>
          <w:t xml:space="preserve">                                                                   </w:t>
        </w:r>
      </w:p>
      <w:p w14:paraId="37721E78" w14:textId="2895D036" w:rsidR="00B85D5D" w:rsidRDefault="00B85D5D"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sidR="00D01924">
          <w:rPr>
            <w:noProof/>
          </w:rPr>
          <w:t>24</w:t>
        </w:r>
        <w:r>
          <w:fldChar w:fldCharType="end"/>
        </w:r>
      </w:p>
    </w:sdtContent>
  </w:sdt>
  <w:p w14:paraId="2ACF7C0E" w14:textId="77777777" w:rsidR="00B85D5D" w:rsidRDefault="00B85D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44B9" w14:textId="40DFD9A4" w:rsidR="00B85D5D" w:rsidRPr="007F10CF" w:rsidRDefault="00B85D5D"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B85D5D" w:rsidRDefault="00B85D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1EB8" w14:textId="77777777" w:rsidR="0033276A" w:rsidRDefault="0033276A" w:rsidP="00DF607E">
      <w:r>
        <w:separator/>
      </w:r>
    </w:p>
  </w:footnote>
  <w:footnote w:type="continuationSeparator" w:id="0">
    <w:p w14:paraId="7440F12D" w14:textId="77777777" w:rsidR="0033276A" w:rsidRDefault="0033276A"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D3E7" w14:textId="77777777" w:rsidR="00B85D5D" w:rsidRPr="00DF64AB" w:rsidRDefault="00B85D5D"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B85D5D" w:rsidRPr="00DF64AB" w:rsidRDefault="00B85D5D"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B85D5D" w:rsidRDefault="00B85D5D" w:rsidP="00B90C43">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8103" w14:textId="77777777" w:rsidR="00B85D5D" w:rsidRPr="00DF64AB" w:rsidRDefault="00B85D5D"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B85D5D" w:rsidRPr="00DF64AB" w:rsidRDefault="00B85D5D"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B85D5D" w:rsidRDefault="00B85D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8">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8">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1">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8"/>
  </w:num>
  <w:num w:numId="4">
    <w:abstractNumId w:val="31"/>
  </w:num>
  <w:num w:numId="5">
    <w:abstractNumId w:val="20"/>
  </w:num>
  <w:num w:numId="6">
    <w:abstractNumId w:val="57"/>
  </w:num>
  <w:num w:numId="7">
    <w:abstractNumId w:val="3"/>
  </w:num>
  <w:num w:numId="8">
    <w:abstractNumId w:val="35"/>
  </w:num>
  <w:num w:numId="9">
    <w:abstractNumId w:val="43"/>
  </w:num>
  <w:num w:numId="10">
    <w:abstractNumId w:val="54"/>
  </w:num>
  <w:num w:numId="11">
    <w:abstractNumId w:val="5"/>
  </w:num>
  <w:num w:numId="12">
    <w:abstractNumId w:val="66"/>
  </w:num>
  <w:num w:numId="13">
    <w:abstractNumId w:val="18"/>
  </w:num>
  <w:num w:numId="14">
    <w:abstractNumId w:val="33"/>
  </w:num>
  <w:num w:numId="15">
    <w:abstractNumId w:val="8"/>
  </w:num>
  <w:num w:numId="16">
    <w:abstractNumId w:val="65"/>
  </w:num>
  <w:num w:numId="17">
    <w:abstractNumId w:val="29"/>
  </w:num>
  <w:num w:numId="18">
    <w:abstractNumId w:val="9"/>
  </w:num>
  <w:num w:numId="19">
    <w:abstractNumId w:val="64"/>
  </w:num>
  <w:num w:numId="20">
    <w:abstractNumId w:val="6"/>
  </w:num>
  <w:num w:numId="21">
    <w:abstractNumId w:val="67"/>
  </w:num>
  <w:num w:numId="22">
    <w:abstractNumId w:val="7"/>
  </w:num>
  <w:num w:numId="23">
    <w:abstractNumId w:val="24"/>
  </w:num>
  <w:num w:numId="24">
    <w:abstractNumId w:val="71"/>
  </w:num>
  <w:num w:numId="25">
    <w:abstractNumId w:val="19"/>
  </w:num>
  <w:num w:numId="26">
    <w:abstractNumId w:val="21"/>
  </w:num>
  <w:num w:numId="27">
    <w:abstractNumId w:val="47"/>
  </w:num>
  <w:num w:numId="28">
    <w:abstractNumId w:val="34"/>
  </w:num>
  <w:num w:numId="29">
    <w:abstractNumId w:val="69"/>
  </w:num>
  <w:num w:numId="30">
    <w:abstractNumId w:val="4"/>
  </w:num>
  <w:num w:numId="31">
    <w:abstractNumId w:val="42"/>
  </w:num>
  <w:num w:numId="32">
    <w:abstractNumId w:val="68"/>
  </w:num>
  <w:num w:numId="33">
    <w:abstractNumId w:val="37"/>
  </w:num>
  <w:num w:numId="34">
    <w:abstractNumId w:val="70"/>
  </w:num>
  <w:num w:numId="35">
    <w:abstractNumId w:val="56"/>
  </w:num>
  <w:num w:numId="36">
    <w:abstractNumId w:val="53"/>
  </w:num>
  <w:num w:numId="37">
    <w:abstractNumId w:val="32"/>
  </w:num>
  <w:num w:numId="38">
    <w:abstractNumId w:val="10"/>
  </w:num>
  <w:num w:numId="39">
    <w:abstractNumId w:val="25"/>
  </w:num>
  <w:num w:numId="40">
    <w:abstractNumId w:val="40"/>
  </w:num>
  <w:num w:numId="41">
    <w:abstractNumId w:val="13"/>
  </w:num>
  <w:num w:numId="42">
    <w:abstractNumId w:val="39"/>
  </w:num>
  <w:num w:numId="43">
    <w:abstractNumId w:val="61"/>
  </w:num>
  <w:num w:numId="44">
    <w:abstractNumId w:val="17"/>
  </w:num>
  <w:num w:numId="45">
    <w:abstractNumId w:val="36"/>
  </w:num>
  <w:num w:numId="46">
    <w:abstractNumId w:val="27"/>
  </w:num>
  <w:num w:numId="47">
    <w:abstractNumId w:val="73"/>
  </w:num>
  <w:num w:numId="48">
    <w:abstractNumId w:val="60"/>
  </w:num>
  <w:num w:numId="49">
    <w:abstractNumId w:val="16"/>
  </w:num>
  <w:num w:numId="50">
    <w:abstractNumId w:val="44"/>
  </w:num>
  <w:num w:numId="51">
    <w:abstractNumId w:val="12"/>
  </w:num>
  <w:num w:numId="52">
    <w:abstractNumId w:val="23"/>
  </w:num>
  <w:num w:numId="53">
    <w:abstractNumId w:val="72"/>
  </w:num>
  <w:num w:numId="54">
    <w:abstractNumId w:val="45"/>
  </w:num>
  <w:num w:numId="55">
    <w:abstractNumId w:val="22"/>
  </w:num>
  <w:num w:numId="56">
    <w:abstractNumId w:val="50"/>
  </w:num>
  <w:num w:numId="57">
    <w:abstractNumId w:val="46"/>
  </w:num>
  <w:num w:numId="58">
    <w:abstractNumId w:val="15"/>
  </w:num>
  <w:num w:numId="59">
    <w:abstractNumId w:val="30"/>
  </w:num>
  <w:num w:numId="60">
    <w:abstractNumId w:val="62"/>
  </w:num>
  <w:num w:numId="61">
    <w:abstractNumId w:val="49"/>
  </w:num>
  <w:num w:numId="62">
    <w:abstractNumId w:val="48"/>
  </w:num>
  <w:num w:numId="63">
    <w:abstractNumId w:val="28"/>
  </w:num>
  <w:num w:numId="64">
    <w:abstractNumId w:val="26"/>
  </w:num>
  <w:num w:numId="65">
    <w:abstractNumId w:val="63"/>
  </w:num>
  <w:num w:numId="66">
    <w:abstractNumId w:val="59"/>
  </w:num>
  <w:num w:numId="67">
    <w:abstractNumId w:val="11"/>
  </w:num>
  <w:num w:numId="68">
    <w:abstractNumId w:val="52"/>
  </w:num>
  <w:num w:numId="69">
    <w:abstractNumId w:val="38"/>
  </w:num>
  <w:num w:numId="70">
    <w:abstractNumId w:val="14"/>
  </w:num>
  <w:num w:numId="71">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UnresolvedMention">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F693CC2D-BC7B-47C2-B478-820F00C5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24</Pages>
  <Words>10321</Words>
  <Characters>67076</Characters>
  <Application>Microsoft Office Word</Application>
  <DocSecurity>0</DocSecurity>
  <Lines>558</Lines>
  <Paragraphs>154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77243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cp:lastModifiedBy>
  <cp:revision>15</cp:revision>
  <cp:lastPrinted>2020-01-10T13:58:00Z</cp:lastPrinted>
  <dcterms:created xsi:type="dcterms:W3CDTF">2019-11-06T10:44:00Z</dcterms:created>
  <dcterms:modified xsi:type="dcterms:W3CDTF">2020-01-14T19:29:00Z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