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749C" w14:textId="19AADF54" w:rsidR="0075116B" w:rsidRDefault="0075116B" w:rsidP="0075116B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OPIS PRZEDMIOTU ZAMÓWIENIA </w:t>
      </w:r>
    </w:p>
    <w:p w14:paraId="4B464EDD" w14:textId="1202A56C" w:rsidR="007B10B6" w:rsidRDefault="007B10B6" w:rsidP="0075116B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Część 2</w:t>
      </w:r>
    </w:p>
    <w:p w14:paraId="62BBA284" w14:textId="77777777" w:rsidR="0075116B" w:rsidRDefault="0075116B" w:rsidP="0075116B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</w:p>
    <w:p w14:paraId="535685AF" w14:textId="77777777" w:rsidR="0075116B" w:rsidRDefault="0075116B" w:rsidP="0075116B">
      <w:pPr>
        <w:pStyle w:val="Adreszwrotnynakopercie"/>
        <w:jc w:val="center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color w:val="auto"/>
          <w:sz w:val="20"/>
          <w:lang w:eastAsia="x-none"/>
        </w:rPr>
        <w:t xml:space="preserve">„Dostawa </w:t>
      </w:r>
      <w:r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 xml:space="preserve">sprzętu komputerowego z oprogramowaniem </w:t>
      </w:r>
      <w:r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br/>
        <w:t>dla ŁUKASIEWICZ-PORT”, Branżowy Punkt Kontaktowy Technologie Medyczne i Zdrowie</w:t>
      </w:r>
    </w:p>
    <w:p w14:paraId="39535B59" w14:textId="77777777" w:rsidR="0075116B" w:rsidRDefault="0075116B" w:rsidP="0075116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5951"/>
        <w:gridCol w:w="1256"/>
      </w:tblGrid>
      <w:tr w:rsidR="00CA7CF6" w14:paraId="1F042376" w14:textId="77777777" w:rsidTr="00CA7CF6">
        <w:trPr>
          <w:trHeight w:val="588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  <w:hideMark/>
          </w:tcPr>
          <w:p w14:paraId="4DE437D4" w14:textId="77777777" w:rsidR="00CA7CF6" w:rsidRDefault="00CA7CF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  <w:hideMark/>
          </w:tcPr>
          <w:p w14:paraId="473E9954" w14:textId="77777777" w:rsidR="00CA7CF6" w:rsidRDefault="00CA7CF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8D1923" w14:textId="77777777" w:rsidR="00CA7CF6" w:rsidRDefault="00CA7CF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Numer tabeli</w:t>
            </w:r>
          </w:p>
        </w:tc>
      </w:tr>
      <w:tr w:rsidR="00CA7CF6" w14:paraId="541C5055" w14:textId="77777777" w:rsidTr="00CA7CF6">
        <w:trPr>
          <w:trHeight w:val="397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CD123E8" w14:textId="77777777" w:rsidR="00CA7CF6" w:rsidRDefault="00CA7C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E5B6467" w14:textId="77777777" w:rsidR="00CA7CF6" w:rsidRDefault="00CA7CF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Zestaw komputerowy typu TABLET 12,3”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BDA1" w14:textId="77777777" w:rsidR="00CA7CF6" w:rsidRDefault="00CA7C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A7CF6" w14:paraId="0B81AF7F" w14:textId="77777777" w:rsidTr="00CA7CF6">
        <w:trPr>
          <w:trHeight w:val="397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D429F86" w14:textId="77777777" w:rsidR="00CA7CF6" w:rsidRDefault="00CA7C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FEEBEEE" w14:textId="77777777" w:rsidR="00CA7CF6" w:rsidRDefault="00CA7CF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Zakres równoważności dla systemu operacyjnego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F95D6" w14:textId="77777777" w:rsidR="00CA7CF6" w:rsidRDefault="00CA7C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09365655" w14:textId="77777777" w:rsidR="0075116B" w:rsidRDefault="0075116B" w:rsidP="007B10B6">
      <w:pPr>
        <w:ind w:right="423"/>
        <w:rPr>
          <w:rFonts w:asciiTheme="minorHAnsi" w:hAnsiTheme="minorHAnsi" w:cstheme="minorHAnsi"/>
          <w:color w:val="000000"/>
          <w:sz w:val="20"/>
          <w:szCs w:val="20"/>
        </w:rPr>
      </w:pPr>
    </w:p>
    <w:p w14:paraId="049AC164" w14:textId="1C421877" w:rsidR="0075116B" w:rsidRDefault="0075116B" w:rsidP="0075116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</w:t>
      </w:r>
      <w:r w:rsidR="00552F4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chce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zakup</w:t>
      </w:r>
      <w:r w:rsidR="00552F43">
        <w:rPr>
          <w:rFonts w:asciiTheme="minorHAnsi" w:hAnsiTheme="minorHAnsi" w:cstheme="minorHAnsi"/>
          <w:color w:val="000000" w:themeColor="text1"/>
          <w:sz w:val="20"/>
          <w:szCs w:val="20"/>
        </w:rPr>
        <w:t>ić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3FF9C9E2" w14:textId="29DB399C" w:rsidR="0075116B" w:rsidRDefault="0075116B" w:rsidP="0075116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1 szt. zestawu komputerowego typu tablet 12,3”</w:t>
      </w:r>
    </w:p>
    <w:p w14:paraId="5A3DD655" w14:textId="0D0E81A1" w:rsidR="00552F43" w:rsidRDefault="00552F43" w:rsidP="0075116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Termin realizacji max. 4 tygodnie</w:t>
      </w:r>
    </w:p>
    <w:p w14:paraId="6CC2B18D" w14:textId="77777777" w:rsidR="0075116B" w:rsidRDefault="0075116B" w:rsidP="0075116B">
      <w:pPr>
        <w:spacing w:after="36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Szczegółowy opis przedmiotu zamówienia</w:t>
      </w:r>
    </w:p>
    <w:tbl>
      <w:tblPr>
        <w:tblW w:w="950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6593"/>
      </w:tblGrid>
      <w:tr w:rsidR="0075116B" w14:paraId="3338F3DE" w14:textId="77777777" w:rsidTr="00552F43">
        <w:trPr>
          <w:trHeight w:val="352"/>
        </w:trPr>
        <w:tc>
          <w:tcPr>
            <w:tcW w:w="9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4224EE2" w14:textId="77777777" w:rsidR="0075116B" w:rsidRDefault="0075116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Tabela nr 1 - Zestaw komputerowy typu TABLET 12,3”</w:t>
            </w:r>
          </w:p>
        </w:tc>
      </w:tr>
      <w:tr w:rsidR="0075116B" w14:paraId="3714C2BF" w14:textId="77777777" w:rsidTr="00552F43">
        <w:trPr>
          <w:trHeight w:val="29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F0553B" w14:textId="77777777" w:rsidR="0075116B" w:rsidRDefault="007511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 w:bidi="hi-IN"/>
              </w:rPr>
              <w:t>Opis parametru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027A25" w14:textId="77777777" w:rsidR="0075116B" w:rsidRDefault="007511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 w:bidi="hi-IN"/>
              </w:rPr>
              <w:t>Minimalne parametry wymagane</w:t>
            </w:r>
          </w:p>
        </w:tc>
      </w:tr>
      <w:tr w:rsidR="0075116B" w14:paraId="311CA003" w14:textId="77777777" w:rsidTr="00552F43">
        <w:trPr>
          <w:trHeight w:val="757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E30B" w14:textId="77777777" w:rsidR="0075116B" w:rsidRDefault="0075116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Procesor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5E5AD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Procesor powinien posiadać minimum 4 rdzenie i 8 wątków. </w:t>
            </w:r>
          </w:p>
          <w:p w14:paraId="01B8FF09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Procesor musi uzyskać min 10187 punktów w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Benchmarked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 CPU, wynik z 16 czerwca 2021 (https://www.cpubenchmark.net)</w:t>
            </w:r>
          </w:p>
        </w:tc>
      </w:tr>
      <w:tr w:rsidR="0075116B" w14:paraId="524F900C" w14:textId="77777777" w:rsidTr="00552F43">
        <w:trPr>
          <w:trHeight w:val="25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5F38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Pamięć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C6CD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Minimum 8GB w standardzie LPDDR4X </w:t>
            </w:r>
          </w:p>
        </w:tc>
      </w:tr>
      <w:tr w:rsidR="0075116B" w14:paraId="32C971A3" w14:textId="77777777" w:rsidTr="00552F43">
        <w:trPr>
          <w:trHeight w:val="24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F3A6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Karta graficzna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1898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Zintegrowana karta graficzna musi uzyskać min 2845 punktów w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Benchmarked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 GPU, wynik z 16 czerwca 2021 (https://www.cpubenchmark.net)</w:t>
            </w:r>
          </w:p>
        </w:tc>
      </w:tr>
      <w:tr w:rsidR="0075116B" w14:paraId="76D37379" w14:textId="77777777" w:rsidTr="00552F43">
        <w:trPr>
          <w:trHeight w:val="22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3BB3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Karta muzyczna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38C9" w14:textId="04255D0E" w:rsidR="0075116B" w:rsidRDefault="0075116B" w:rsidP="00552F43">
            <w:pPr>
              <w:tabs>
                <w:tab w:val="left" w:pos="549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Zintegrowana HD</w:t>
            </w:r>
          </w:p>
        </w:tc>
      </w:tr>
      <w:tr w:rsidR="0075116B" w14:paraId="28866D94" w14:textId="77777777" w:rsidTr="00552F43">
        <w:trPr>
          <w:trHeight w:val="21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DDD9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Klawiatura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88F18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Klawiatura w układzie US QWERTY, wbudowany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Touchpad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, , podświetlana lub oświetlana, podłączana do urządzenia interfejsem magnetycznym. Kompatybilność powinna być potwierdzona przez producenta komputera (np. na stronie internetowej producenta). </w:t>
            </w:r>
          </w:p>
        </w:tc>
      </w:tr>
      <w:tr w:rsidR="0075116B" w14:paraId="6F83C5ED" w14:textId="77777777" w:rsidTr="00552F43">
        <w:trPr>
          <w:trHeight w:val="68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682C8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Dysk twardy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41F75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Minimum SSD M.2 256 GB ze sprzętowym wsparciem dla szyfrowania. </w:t>
            </w:r>
          </w:p>
          <w:p w14:paraId="69E77516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W przypadku awarii dysku twardego, w czasie trwania gwarancji, uszkodzony dysk pozostaje u Zamawiającego.</w:t>
            </w:r>
          </w:p>
        </w:tc>
      </w:tr>
      <w:tr w:rsidR="0075116B" w14:paraId="239A9A93" w14:textId="77777777" w:rsidTr="00552F43">
        <w:trPr>
          <w:trHeight w:val="113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CF562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Interfejsy sieciowe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E73CF" w14:textId="77777777" w:rsidR="0075116B" w:rsidRDefault="0075116B" w:rsidP="00A914C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Wbudowana karta Bluetooth 5.0 lub lepsza</w:t>
            </w:r>
          </w:p>
          <w:p w14:paraId="345DC9C8" w14:textId="77777777" w:rsidR="0075116B" w:rsidRDefault="0075116B" w:rsidP="00A914C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WLAN 802.11ax lub lepsza</w:t>
            </w:r>
          </w:p>
          <w:p w14:paraId="0D12C19F" w14:textId="77777777" w:rsidR="0075116B" w:rsidRDefault="0075116B" w:rsidP="00A914C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Instalacja/wymiana karty SIM w standardzie Micro SIM lub Nano SIM bez konieczności rozkręcania obudowy komputera (slot karty SIM dostępny dla użytkownika)</w:t>
            </w:r>
          </w:p>
        </w:tc>
      </w:tr>
      <w:tr w:rsidR="0075116B" w14:paraId="6954AEA2" w14:textId="77777777" w:rsidTr="00552F43">
        <w:trPr>
          <w:trHeight w:val="743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BA83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lastRenderedPageBreak/>
              <w:t>Zarządzanie i bezpieczeństwo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82DE0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Wbudowany układ TPM 2.0 lub wyższy</w:t>
            </w:r>
          </w:p>
        </w:tc>
      </w:tr>
      <w:tr w:rsidR="0075116B" w14:paraId="359ACE5B" w14:textId="77777777" w:rsidTr="00552F43">
        <w:trPr>
          <w:trHeight w:val="23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C68E5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Funkcje BIOS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168D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Hasło administratora, wyłączenie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bootowania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 z USB</w:t>
            </w:r>
          </w:p>
        </w:tc>
      </w:tr>
      <w:tr w:rsidR="0075116B" w14:paraId="250E0556" w14:textId="77777777" w:rsidTr="00552F43">
        <w:trPr>
          <w:trHeight w:val="377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B3634" w14:textId="77777777" w:rsidR="0075116B" w:rsidRDefault="0075116B">
            <w:pPr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Bateria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B24C1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Litowo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 xml:space="preserve">-jonowa o minimalnej pojemności 50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Wh</w:t>
            </w:r>
            <w:proofErr w:type="spellEnd"/>
          </w:p>
        </w:tc>
      </w:tr>
      <w:tr w:rsidR="0075116B" w14:paraId="47FB568C" w14:textId="77777777" w:rsidTr="00552F43">
        <w:trPr>
          <w:trHeight w:val="38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8C96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Zasilacz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0FE2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Zasilacz sieciowy dedykowany dla zastosowanej baterii/procesora/karty graficznej</w:t>
            </w:r>
          </w:p>
        </w:tc>
      </w:tr>
      <w:tr w:rsidR="0075116B" w14:paraId="763F4568" w14:textId="77777777" w:rsidTr="00552F43">
        <w:trPr>
          <w:trHeight w:val="77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2608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Wyświetlacz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3CD55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Przekątna 12,3", rozdzielczość minimalna 2736x1824, matryca błyszcząca, dotykowa z 10 punktami dotyku, format 3:2.</w:t>
            </w:r>
          </w:p>
          <w:p w14:paraId="16091A36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Wymagana wbudowana kamera 1080p do wideo rozmów</w:t>
            </w:r>
          </w:p>
        </w:tc>
      </w:tr>
      <w:tr w:rsidR="0075116B" w14:paraId="58908303" w14:textId="77777777" w:rsidTr="00552F43">
        <w:trPr>
          <w:trHeight w:val="120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6A508" w14:textId="77777777" w:rsidR="0075116B" w:rsidRDefault="0075116B">
            <w:pPr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  <w:t>System operacyjny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26A8" w14:textId="77777777" w:rsidR="0075116B" w:rsidRDefault="0075116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Preinstalowany system operacyjny Microsoft Windows 10 Professional PL 64 bit, nie wymagający aktywacji za pomocą telefonu lub Internetu.</w:t>
            </w:r>
          </w:p>
          <w:p w14:paraId="7605D385" w14:textId="77777777" w:rsidR="0075116B" w:rsidRDefault="0075116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  <w:t>Dopuszczalne jest zastosowanie równoważnego systemu operacyjnego w zakresie wyszczególnionym w tabeli nr 2 - Zakres równoważności dla systemu operacyjnego.</w:t>
            </w:r>
          </w:p>
        </w:tc>
      </w:tr>
      <w:tr w:rsidR="0075116B" w14:paraId="13BF7F3F" w14:textId="77777777" w:rsidTr="00552F43">
        <w:trPr>
          <w:trHeight w:val="120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E0EF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7F84E" w14:textId="77777777" w:rsidR="0075116B" w:rsidRDefault="0075116B" w:rsidP="00A914C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minimum 1 x USB 3.0</w:t>
            </w:r>
          </w:p>
          <w:p w14:paraId="4FCDAD1D" w14:textId="77777777" w:rsidR="0075116B" w:rsidRDefault="0075116B" w:rsidP="00A914C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minimum 1 x USB-C </w:t>
            </w:r>
          </w:p>
          <w:p w14:paraId="20771724" w14:textId="77777777" w:rsidR="0075116B" w:rsidRDefault="0075116B" w:rsidP="00A914C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Gniazdo słuchawkowe </w:t>
            </w:r>
          </w:p>
        </w:tc>
      </w:tr>
      <w:tr w:rsidR="0075116B" w14:paraId="4FDADA22" w14:textId="77777777" w:rsidTr="00552F43">
        <w:trPr>
          <w:trHeight w:val="54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FCDE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C935" w14:textId="000790E0" w:rsidR="0075116B" w:rsidRDefault="0075116B" w:rsidP="00A914C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</w:t>
            </w:r>
            <w:r w:rsidR="009B2F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lata gwarancji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Door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Door</w:t>
            </w:r>
            <w:proofErr w:type="spellEnd"/>
          </w:p>
        </w:tc>
      </w:tr>
      <w:tr w:rsidR="0075116B" w14:paraId="35C0073E" w14:textId="77777777" w:rsidTr="00552F43">
        <w:trPr>
          <w:trHeight w:val="48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2910" w14:textId="77777777" w:rsidR="0075116B" w:rsidRDefault="007511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71512" w14:textId="77777777" w:rsidR="0075116B" w:rsidRDefault="0075116B" w:rsidP="00A914C9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masa komputera przenośnego z oferowaną baterią bez klawiatury to 800 g</w:t>
            </w:r>
          </w:p>
        </w:tc>
      </w:tr>
    </w:tbl>
    <w:p w14:paraId="0C0A0382" w14:textId="77777777" w:rsidR="0075116B" w:rsidRDefault="0075116B" w:rsidP="0075116B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7353F55" w14:textId="77777777" w:rsidR="0075116B" w:rsidRDefault="0075116B" w:rsidP="007511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436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126"/>
        <w:gridCol w:w="6449"/>
      </w:tblGrid>
      <w:tr w:rsidR="0075116B" w14:paraId="2B090292" w14:textId="77777777" w:rsidTr="0075116B">
        <w:trPr>
          <w:trHeight w:val="352"/>
        </w:trPr>
        <w:tc>
          <w:tcPr>
            <w:tcW w:w="9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50CB870E" w14:textId="77777777" w:rsidR="0075116B" w:rsidRDefault="007511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Tabela nr 2 - Zakres równoważności dla systemu operacyjnego Microsoft Windows 10</w:t>
            </w:r>
          </w:p>
        </w:tc>
      </w:tr>
      <w:tr w:rsidR="0075116B" w14:paraId="67EA2110" w14:textId="77777777" w:rsidTr="0075116B">
        <w:trPr>
          <w:trHeight w:val="292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13B476C1" w14:textId="77777777" w:rsidR="0075116B" w:rsidRDefault="007511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D3C8A2E" w14:textId="77777777" w:rsidR="0075116B" w:rsidRDefault="007511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68DC5CC" w14:textId="77777777" w:rsidR="0075116B" w:rsidRDefault="007511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75116B" w14:paraId="2EAE8E5C" w14:textId="77777777" w:rsidTr="0075116B">
        <w:trPr>
          <w:trHeight w:val="324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03499E" w14:textId="77777777" w:rsidR="0075116B" w:rsidRDefault="0075116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2BEDF7" w14:textId="77777777" w:rsidR="0075116B" w:rsidRDefault="007511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dla systemu operacyjnego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550614" w14:textId="77777777" w:rsidR="0075116B" w:rsidRDefault="007511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musi spełniać następujące wymagania poprzez wbudowane mechanizmy, bez użycia dodatkowych aplikacji:</w:t>
            </w:r>
          </w:p>
          <w:p w14:paraId="75D715F0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aktualizacji i poprawek systemu przez Internet z możliwością wyboru instalowanych poprawek</w:t>
            </w:r>
          </w:p>
          <w:p w14:paraId="57718EDF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uaktualnień sterowników urządzeń przez Internet – witrynę producenta systemu</w:t>
            </w:r>
          </w:p>
          <w:p w14:paraId="3A82F66D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Darmowe aktualizacje w ramach wersji systemu operacyjnego przez Internet (niezbędne aktualizacje, poprawki, biuletyny bezpieczeństwa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muszą być dostarczane bez dodatkowych opłat) – wymagane podanie nazwy strony serwera WWW</w:t>
            </w:r>
          </w:p>
          <w:p w14:paraId="4D347F46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Internetowa aktualizacja zapewniona w języku polskim</w:t>
            </w:r>
          </w:p>
          <w:p w14:paraId="72038BCD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0D171C7B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Zlokalizowane w języku polskim, co najmniej następujące elementy: menu, odtwarzacz multimediów, pomoc, komunikaty systemowe</w:t>
            </w:r>
          </w:p>
          <w:p w14:paraId="4AAC4877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Plug&amp;Play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Wi-Fi)</w:t>
            </w:r>
          </w:p>
          <w:p w14:paraId="4E64D665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automatycznej zmiany domyślnej drukarki w zależności od sieci, do której podłączony jest komputer</w:t>
            </w:r>
          </w:p>
          <w:p w14:paraId="0D81C061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45BDFAFE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zdalnej automatycznej instalacji, konfiguracji, administrowania oraz aktualizowania systemu</w:t>
            </w:r>
          </w:p>
          <w:p w14:paraId="2452AD21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Zabezpieczony hasłem hierarchiczny dostęp do systemu, konta i profile użytkowników zarządzane zdalnie; praca systemu w trybie ochrony kont użytkowników</w:t>
            </w:r>
          </w:p>
          <w:p w14:paraId="12C89013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334BEE83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Zintegrowane z systemem operacyjnym narzędzia zwalczające złośliwe oprogramowanie; aktualizacje dostępne u producenta nieodpłatnie bez ograniczeń czasowych</w:t>
            </w:r>
          </w:p>
          <w:p w14:paraId="0309E79E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rozpoznawania mowy, pozwalającą na sterowanie komputerem głosowo, wraz z modułem „uczenia się” głosu użytkownika</w:t>
            </w:r>
          </w:p>
          <w:p w14:paraId="2E074B93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operacyjnym moduł synchronizacji komputera z urządzeniami zewnętrznymi</w:t>
            </w:r>
          </w:p>
          <w:p w14:paraId="68EB2290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system pomocy w języku polskim</w:t>
            </w:r>
          </w:p>
          <w:p w14:paraId="1F99EF31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przystosowania stanowiska dla osób niepełnosprawnych (np. słabo widzących)</w:t>
            </w:r>
          </w:p>
          <w:p w14:paraId="6F79EE75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14:paraId="33BDFF88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Wdrażanie IPSEC oparte na politykach – wdrażanie IPSEC oparte na zestawach reguł definiujących ustawienia zarządzanych w sposób centralny</w:t>
            </w:r>
          </w:p>
          <w:p w14:paraId="1B00D628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Automatyczne występowanie i używanie (wystawianie) certyfikatów PKI X.509</w:t>
            </w:r>
          </w:p>
          <w:p w14:paraId="0A247688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logowania przy pomocy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smartcard</w:t>
            </w:r>
            <w:proofErr w:type="spellEnd"/>
          </w:p>
          <w:p w14:paraId="33E3E326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Rozbudowane polityki bezpieczeństwa – polityki dla systemu operacyjnego i dla wskazanych aplikacji</w:t>
            </w:r>
          </w:p>
          <w:p w14:paraId="488DF4EE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posiada narzędzia służące do administracji, do wykonywania kopii zapasowych polityk i ich odtwarzania oraz generowania raportów z ustawień polityk</w:t>
            </w:r>
          </w:p>
          <w:p w14:paraId="08FA3D49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Wsparcie dla Java i .NET Framework 2.0 i 3.0 – możliwość uruchomienia aplikacji działających we wskazanych środowiskach</w:t>
            </w:r>
          </w:p>
          <w:p w14:paraId="030DBF70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JScript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VBScript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możliwość uruchamiania interpretera poleceń</w:t>
            </w:r>
          </w:p>
          <w:p w14:paraId="4175DBB7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Zdalna pomoc i współdzielenie aplikacji – możliwość zdalnego przejęcia sesji zalogowanego użytkownika celem rozwiązania problemu z komputerem</w:t>
            </w:r>
          </w:p>
          <w:p w14:paraId="617AE5E1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42D1D6E2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ma umożliwiające wdrożenie nowego obrazu poprzez zdalną instalację</w:t>
            </w:r>
          </w:p>
          <w:p w14:paraId="072D7665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Graficzne środowisko instalacji i konfiguracji</w:t>
            </w:r>
          </w:p>
          <w:p w14:paraId="7623AF72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quota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na dysku dla użytkowników oraz zapewniający większą niezawodność i pozwalający tworzyć kopie zapasowe</w:t>
            </w:r>
          </w:p>
          <w:p w14:paraId="520E8F71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 kontami użytkowników sieci oraz urządzeniami sieciowymi tj. drukarki, modemy, woluminy dyskowe, usługi katalogowe</w:t>
            </w:r>
          </w:p>
          <w:p w14:paraId="13A1B29A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Udostępnianie modemu</w:t>
            </w:r>
          </w:p>
          <w:p w14:paraId="3D4D7B89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</w:t>
            </w:r>
          </w:p>
          <w:p w14:paraId="60891C72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przywracania plików systemowych</w:t>
            </w:r>
          </w:p>
          <w:p w14:paraId="07152DEA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architektury 64 bitowej</w:t>
            </w:r>
          </w:p>
          <w:p w14:paraId="528F1E15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Umożliwiać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integrację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z Windows Active Directory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Novell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eDirectory</w:t>
            </w:r>
            <w:proofErr w:type="spellEnd"/>
          </w:p>
          <w:p w14:paraId="5781EEAF" w14:textId="77777777" w:rsidR="0075116B" w:rsidRDefault="0075116B" w:rsidP="00A914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Posiadać wbudowane rozwiązanie pozwalające na kryptograficzną ochronę danych na dyskach</w:t>
            </w:r>
          </w:p>
        </w:tc>
      </w:tr>
      <w:tr w:rsidR="0075116B" w14:paraId="2A8AADDB" w14:textId="77777777" w:rsidTr="0075116B">
        <w:trPr>
          <w:trHeight w:val="61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9830A4" w14:textId="77777777" w:rsidR="0075116B" w:rsidRDefault="0075116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8EFFE2" w14:textId="77777777" w:rsidR="0075116B" w:rsidRDefault="007511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Wymagane szkolenia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FB6821" w14:textId="77777777" w:rsidR="0075116B" w:rsidRDefault="007511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przypadku zaoferowania oprogramowania równoważnego względem systemu Microsoft Windows 10, </w:t>
            </w:r>
          </w:p>
          <w:p w14:paraId="7DD68A75" w14:textId="77777777" w:rsidR="0075116B" w:rsidRDefault="007511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Sprzedający zobowiązany jest do przeprowadzenia szkoleń dla pracowników Kupującego w zakresie obsługi zaoferowanego systemu operacyjnego. Szkolenia zostaną przeprowadzone dla liczby pracowników odpowiadającej liczbie zakupionych licencji w wymiarze minimum 6 godzin zegarowych, oraz 12 godzin zegarowych dla jednej grupy administratorów i pracowników pomocy technicznej. Szkolenia odbędą się w siedzibie Zamawiającego w grupach po max. 10 osób.</w:t>
            </w:r>
          </w:p>
        </w:tc>
      </w:tr>
      <w:tr w:rsidR="0075116B" w14:paraId="7886BC02" w14:textId="77777777" w:rsidTr="0075116B">
        <w:trPr>
          <w:trHeight w:val="61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3C6E12" w14:textId="77777777" w:rsidR="0075116B" w:rsidRDefault="0075116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77545" w14:textId="77777777" w:rsidR="0075116B" w:rsidRDefault="007511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Zgodność z infrastrukturą Zamawiającego</w:t>
            </w:r>
          </w:p>
          <w:p w14:paraId="283A8B8B" w14:textId="77777777" w:rsidR="0075116B" w:rsidRDefault="007511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08252A" w14:textId="77777777" w:rsidR="0075116B" w:rsidRDefault="0075116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1062B89E" w14:textId="77777777" w:rsidR="00C818D7" w:rsidRDefault="00C818D7"/>
    <w:sectPr w:rsidR="00C818D7" w:rsidSect="00552F43">
      <w:headerReference w:type="default" r:id="rId8"/>
      <w:footerReference w:type="default" r:id="rId9"/>
      <w:pgSz w:w="11906" w:h="16838"/>
      <w:pgMar w:top="1417" w:right="0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9CDA" w14:textId="77777777" w:rsidR="00552F43" w:rsidRDefault="00552F43" w:rsidP="00552F43">
      <w:pPr>
        <w:spacing w:after="0" w:line="240" w:lineRule="auto"/>
      </w:pPr>
      <w:r>
        <w:separator/>
      </w:r>
    </w:p>
  </w:endnote>
  <w:endnote w:type="continuationSeparator" w:id="0">
    <w:p w14:paraId="5F42F7F7" w14:textId="77777777" w:rsidR="00552F43" w:rsidRDefault="00552F43" w:rsidP="0055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67AA" w14:textId="77777777" w:rsidR="00552F43" w:rsidRPr="00552F43" w:rsidRDefault="00552F43" w:rsidP="00552F43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 xml:space="preserve">Dofinansowano z przedsięwzięcia Ministra Edukacji i Nauki „Branżowe punkty </w:t>
    </w:r>
  </w:p>
  <w:p w14:paraId="5445C3FE" w14:textId="77777777" w:rsidR="00552F43" w:rsidRPr="00552F43" w:rsidRDefault="00552F43" w:rsidP="00552F43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 xml:space="preserve">kontaktowe dla programu ramowego w zakresie badań naukowych i innowacji Horyzont </w:t>
    </w:r>
  </w:p>
  <w:p w14:paraId="137CBBF2" w14:textId="77777777" w:rsidR="00552F43" w:rsidRPr="00552F43" w:rsidRDefault="00552F43" w:rsidP="00552F43">
    <w:pPr>
      <w:pStyle w:val="Stopka"/>
      <w:ind w:right="990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 xml:space="preserve">Europa" na podstawie umowy nr </w:t>
    </w:r>
    <w:proofErr w:type="spellStart"/>
    <w:r w:rsidRPr="00552F43">
      <w:rPr>
        <w:rFonts w:ascii="Verdana" w:hAnsi="Verdana"/>
        <w:sz w:val="14"/>
        <w:szCs w:val="14"/>
      </w:rPr>
      <w:t>MEiN</w:t>
    </w:r>
    <w:proofErr w:type="spellEnd"/>
    <w:r w:rsidRPr="00552F43">
      <w:rPr>
        <w:rFonts w:ascii="Verdana" w:hAnsi="Verdana"/>
        <w:sz w:val="14"/>
        <w:szCs w:val="14"/>
      </w:rPr>
      <w:t xml:space="preserve">/2022/BPK/4 </w:t>
    </w:r>
  </w:p>
  <w:p w14:paraId="3342F022" w14:textId="77777777" w:rsidR="00552F43" w:rsidRPr="00552F43" w:rsidRDefault="00552F43" w:rsidP="00552F43">
    <w:pPr>
      <w:pStyle w:val="Stopka"/>
      <w:rPr>
        <w:rFonts w:ascii="Verdana" w:hAnsi="Verdana"/>
        <w:sz w:val="14"/>
        <w:szCs w:val="14"/>
      </w:rPr>
    </w:pPr>
  </w:p>
  <w:p w14:paraId="2A030B30" w14:textId="77777777" w:rsidR="00552F43" w:rsidRPr="00552F43" w:rsidRDefault="00552F43" w:rsidP="00552F43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>Sieć Badawcza Łukasiewicz – PORT Polski Ośrodek Rozwoju Technologii</w:t>
    </w:r>
  </w:p>
  <w:p w14:paraId="51D10B2D" w14:textId="47E56B37" w:rsidR="00552F43" w:rsidRPr="00552F43" w:rsidRDefault="00552F43" w:rsidP="00552F43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 xml:space="preserve">54-066 Wrocław, ul. </w:t>
    </w:r>
    <w:proofErr w:type="spellStart"/>
    <w:r w:rsidRPr="00552F43">
      <w:rPr>
        <w:rFonts w:ascii="Verdana" w:hAnsi="Verdana"/>
        <w:sz w:val="14"/>
        <w:szCs w:val="14"/>
      </w:rPr>
      <w:t>Stabłowicka</w:t>
    </w:r>
    <w:proofErr w:type="spellEnd"/>
    <w:r w:rsidRPr="00552F43">
      <w:rPr>
        <w:rFonts w:ascii="Verdana" w:hAnsi="Verdana"/>
        <w:sz w:val="14"/>
        <w:szCs w:val="14"/>
      </w:rPr>
      <w:t xml:space="preserve"> 147, Tel: +48 71 734 77 77, Fax: +48 71 720 16 00</w:t>
    </w:r>
    <w:r>
      <w:rPr>
        <w:noProof/>
        <w:spacing w:val="2"/>
        <w:lang w:eastAsia="pl-PL"/>
      </w:rPr>
      <w:drawing>
        <wp:anchor distT="0" distB="0" distL="114300" distR="114300" simplePos="0" relativeHeight="251663360" behindDoc="1" locked="1" layoutInCell="1" allowOverlap="1" wp14:anchorId="474EEB95" wp14:editId="551CB887">
          <wp:simplePos x="0" y="0"/>
          <wp:positionH relativeFrom="column">
            <wp:posOffset>5143500</wp:posOffset>
          </wp:positionH>
          <wp:positionV relativeFrom="page">
            <wp:posOffset>9714865</wp:posOffset>
          </wp:positionV>
          <wp:extent cx="1230630" cy="848995"/>
          <wp:effectExtent l="0" t="0" r="0" b="0"/>
          <wp:wrapNone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695E9" w14:textId="2C3BC74E" w:rsidR="00552F43" w:rsidRPr="00552F43" w:rsidRDefault="00552F43" w:rsidP="00552F43">
    <w:pPr>
      <w:pStyle w:val="Stopka"/>
      <w:tabs>
        <w:tab w:val="clear" w:pos="9072"/>
        <w:tab w:val="left" w:pos="8625"/>
      </w:tabs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>E-mail: biuro@port.lukasiewicz.gov.pl | NIP: 894 314 05 23, REGON: 386585168</w:t>
    </w:r>
    <w:r>
      <w:rPr>
        <w:rFonts w:ascii="Verdana" w:hAnsi="Verdana"/>
        <w:sz w:val="14"/>
        <w:szCs w:val="14"/>
      </w:rPr>
      <w:tab/>
    </w:r>
  </w:p>
  <w:p w14:paraId="20D2004F" w14:textId="77777777" w:rsidR="00552F43" w:rsidRPr="00552F43" w:rsidRDefault="00552F43" w:rsidP="00552F43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 xml:space="preserve">Sąd Rejonowy dla Wrocławia – Fabrycznej we Wrocławiu, VI Wydział Gospodarczy KRS, </w:t>
    </w:r>
  </w:p>
  <w:p w14:paraId="0964BCE5" w14:textId="3362A96C" w:rsidR="00552F43" w:rsidRPr="00552F43" w:rsidRDefault="00552F43" w:rsidP="00552F43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>Nr KRS: 0000850580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6797" w14:textId="77777777" w:rsidR="00552F43" w:rsidRDefault="00552F43" w:rsidP="00552F43">
      <w:pPr>
        <w:spacing w:after="0" w:line="240" w:lineRule="auto"/>
      </w:pPr>
      <w:r>
        <w:separator/>
      </w:r>
    </w:p>
  </w:footnote>
  <w:footnote w:type="continuationSeparator" w:id="0">
    <w:p w14:paraId="160BF8AB" w14:textId="77777777" w:rsidR="00552F43" w:rsidRDefault="00552F43" w:rsidP="0055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4673" w14:textId="73959E25" w:rsidR="00552F43" w:rsidRDefault="00552F43" w:rsidP="00CA7CF6">
    <w:pPr>
      <w:pStyle w:val="Nagwek"/>
      <w:tabs>
        <w:tab w:val="clear" w:pos="4536"/>
        <w:tab w:val="center" w:pos="4395"/>
      </w:tabs>
      <w:ind w:right="282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0CBCE8" wp14:editId="7A591268">
          <wp:simplePos x="0" y="0"/>
          <wp:positionH relativeFrom="column">
            <wp:posOffset>-980440</wp:posOffset>
          </wp:positionH>
          <wp:positionV relativeFrom="paragraph">
            <wp:posOffset>1456690</wp:posOffset>
          </wp:positionV>
          <wp:extent cx="1067494" cy="136183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4" cy="13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02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745A6E" wp14:editId="07354778">
          <wp:simplePos x="0" y="0"/>
          <wp:positionH relativeFrom="column">
            <wp:posOffset>-791210</wp:posOffset>
          </wp:positionH>
          <wp:positionV relativeFrom="paragraph">
            <wp:posOffset>-248285</wp:posOffset>
          </wp:positionV>
          <wp:extent cx="791625" cy="1609725"/>
          <wp:effectExtent l="0" t="0" r="889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CF6">
      <w:t>Załącznik nr 2.2 do SWZ nr sprawy PO.271.48.2022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336887">
    <w:abstractNumId w:val="0"/>
  </w:num>
  <w:num w:numId="2" w16cid:durableId="1605840709">
    <w:abstractNumId w:val="1"/>
  </w:num>
  <w:num w:numId="3" w16cid:durableId="573049472">
    <w:abstractNumId w:val="2"/>
  </w:num>
  <w:num w:numId="4" w16cid:durableId="341206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6B"/>
    <w:rsid w:val="00002FED"/>
    <w:rsid w:val="00022CE8"/>
    <w:rsid w:val="001B14EC"/>
    <w:rsid w:val="001D7A16"/>
    <w:rsid w:val="00283F90"/>
    <w:rsid w:val="002A62DF"/>
    <w:rsid w:val="002C243A"/>
    <w:rsid w:val="00552F43"/>
    <w:rsid w:val="0075116B"/>
    <w:rsid w:val="007B10B6"/>
    <w:rsid w:val="009B2F8A"/>
    <w:rsid w:val="00C818D7"/>
    <w:rsid w:val="00CA7CF6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C36943"/>
  <w15:chartTrackingRefBased/>
  <w15:docId w15:val="{BA7D0B68-9672-4E2A-9EA3-CC0FCDBD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6B"/>
    <w:pPr>
      <w:spacing w:after="200" w:line="276" w:lineRule="auto"/>
    </w:pPr>
    <w:rPr>
      <w:rFonts w:ascii="Tahoma" w:eastAsia="Calibri" w:hAnsi="Tahoma" w:cs="Tahoma"/>
      <w:color w:val="80828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5116B"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16B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styleId="Adreszwrotnynakopercie">
    <w:name w:val="envelope return"/>
    <w:basedOn w:val="Normalny"/>
    <w:semiHidden/>
    <w:unhideWhenUsed/>
    <w:rsid w:val="0075116B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7511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16B"/>
    <w:rPr>
      <w:sz w:val="16"/>
      <w:szCs w:val="16"/>
    </w:rPr>
  </w:style>
  <w:style w:type="paragraph" w:styleId="Poprawka">
    <w:name w:val="Revision"/>
    <w:hidden/>
    <w:uiPriority w:val="99"/>
    <w:semiHidden/>
    <w:rsid w:val="00552F43"/>
    <w:pPr>
      <w:spacing w:after="0" w:line="240" w:lineRule="auto"/>
    </w:pPr>
    <w:rPr>
      <w:rFonts w:ascii="Tahoma" w:eastAsia="Calibri" w:hAnsi="Tahoma" w:cs="Tahoma"/>
      <w:color w:val="80828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F43"/>
    <w:rPr>
      <w:rFonts w:ascii="Tahoma" w:eastAsia="Calibri" w:hAnsi="Tahoma" w:cs="Tahoma"/>
      <w:color w:val="80828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F43"/>
    <w:rPr>
      <w:rFonts w:ascii="Tahoma" w:eastAsia="Calibri" w:hAnsi="Tahoma" w:cs="Tahoma"/>
      <w:color w:val="80828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5D0FD-96DC-4C13-BD5C-C6D456E0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Sobota | Łukasiewicz - PORT</dc:creator>
  <cp:keywords/>
  <dc:description/>
  <cp:lastModifiedBy>Katarzyna Gorzeja | Łukasiewicz - PORT Polski Ośrodek Rozwoju Technologii</cp:lastModifiedBy>
  <cp:revision>9</cp:revision>
  <dcterms:created xsi:type="dcterms:W3CDTF">2022-08-29T11:28:00Z</dcterms:created>
  <dcterms:modified xsi:type="dcterms:W3CDTF">2022-09-28T10:23:00Z</dcterms:modified>
</cp:coreProperties>
</file>