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C259" w14:textId="70972036" w:rsidR="00102C61" w:rsidRPr="000020EF" w:rsidRDefault="00102C61" w:rsidP="00102C61">
      <w:pPr>
        <w:pStyle w:val="Podstawowyakapitowy"/>
        <w:spacing w:line="276" w:lineRule="auto"/>
        <w:jc w:val="right"/>
        <w:rPr>
          <w:rFonts w:asciiTheme="minorHAnsi" w:hAnsiTheme="minorHAnsi" w:cs="Roboto Lt"/>
          <w:color w:val="auto"/>
          <w:sz w:val="20"/>
          <w:szCs w:val="20"/>
        </w:rPr>
      </w:pPr>
      <w:r w:rsidRPr="000020EF">
        <w:rPr>
          <w:rFonts w:asciiTheme="minorHAnsi" w:hAnsiTheme="minorHAnsi" w:cs="Roboto Lt"/>
          <w:color w:val="auto"/>
          <w:sz w:val="20"/>
          <w:szCs w:val="20"/>
        </w:rPr>
        <w:t>Załącznik nr 2</w:t>
      </w:r>
      <w:r w:rsidR="0011454D">
        <w:rPr>
          <w:rFonts w:asciiTheme="minorHAnsi" w:hAnsiTheme="minorHAnsi" w:cs="Roboto Lt"/>
          <w:color w:val="auto"/>
          <w:sz w:val="20"/>
          <w:szCs w:val="20"/>
        </w:rPr>
        <w:t>.2.</w:t>
      </w:r>
      <w:r w:rsidRPr="000020EF">
        <w:rPr>
          <w:rFonts w:asciiTheme="minorHAnsi" w:hAnsiTheme="minorHAnsi" w:cs="Roboto Lt"/>
          <w:color w:val="auto"/>
          <w:sz w:val="20"/>
          <w:szCs w:val="20"/>
        </w:rPr>
        <w:t xml:space="preserve"> do SWZ</w:t>
      </w:r>
    </w:p>
    <w:p w14:paraId="6E3BB363" w14:textId="38678771" w:rsidR="00102C61" w:rsidRPr="000020EF" w:rsidRDefault="00102C61" w:rsidP="00102C61">
      <w:pPr>
        <w:pStyle w:val="Adreszwrotnynakopercie"/>
        <w:jc w:val="right"/>
        <w:rPr>
          <w:rFonts w:asciiTheme="minorHAnsi" w:eastAsia="Calibri" w:hAnsiTheme="minorHAnsi" w:cs="Arial"/>
          <w:sz w:val="20"/>
        </w:rPr>
      </w:pPr>
      <w:r w:rsidRPr="000020EF">
        <w:rPr>
          <w:rFonts w:asciiTheme="minorHAnsi" w:eastAsia="Calibri" w:hAnsiTheme="minorHAnsi" w:cs="Arial"/>
          <w:sz w:val="20"/>
        </w:rPr>
        <w:t xml:space="preserve">     Nr sprawy:</w:t>
      </w:r>
      <w:r w:rsidR="000020EF">
        <w:rPr>
          <w:rFonts w:asciiTheme="minorHAnsi" w:eastAsia="Calibri" w:hAnsiTheme="minorHAnsi" w:cs="Arial"/>
          <w:sz w:val="20"/>
        </w:rPr>
        <w:t xml:space="preserve"> PO.271.27.2021</w:t>
      </w:r>
    </w:p>
    <w:p w14:paraId="5D9184D0" w14:textId="32A10C36" w:rsidR="00102C61" w:rsidRPr="000020EF" w:rsidRDefault="00102C61" w:rsidP="00102C61">
      <w:pPr>
        <w:pStyle w:val="Adreszwrotnynakopercie"/>
        <w:jc w:val="right"/>
        <w:rPr>
          <w:rFonts w:asciiTheme="minorHAnsi" w:eastAsia="Calibri" w:hAnsiTheme="minorHAnsi" w:cs="Arial"/>
          <w:sz w:val="20"/>
        </w:rPr>
      </w:pPr>
    </w:p>
    <w:p w14:paraId="675E35A0" w14:textId="77777777" w:rsidR="00102C61" w:rsidRPr="000020EF" w:rsidRDefault="00102C61" w:rsidP="00102C61">
      <w:pPr>
        <w:pStyle w:val="Adreszwrotnynakopercie"/>
        <w:jc w:val="right"/>
        <w:rPr>
          <w:rFonts w:asciiTheme="minorHAnsi" w:hAnsiTheme="minorHAnsi" w:cs="Tahoma"/>
          <w:b/>
          <w:sz w:val="20"/>
        </w:rPr>
      </w:pPr>
    </w:p>
    <w:p w14:paraId="111362A8" w14:textId="77777777" w:rsidR="00102C61" w:rsidRPr="000020EF" w:rsidRDefault="00102C61" w:rsidP="00102C61">
      <w:pPr>
        <w:pStyle w:val="Podstawowyakapitowy"/>
        <w:spacing w:line="276" w:lineRule="auto"/>
        <w:jc w:val="center"/>
        <w:rPr>
          <w:rFonts w:asciiTheme="minorHAnsi" w:hAnsiTheme="minorHAnsi" w:cs="Roboto Lt"/>
          <w:color w:val="auto"/>
          <w:sz w:val="20"/>
          <w:szCs w:val="20"/>
          <w:u w:val="single"/>
        </w:rPr>
      </w:pPr>
      <w:r w:rsidRPr="000020EF">
        <w:rPr>
          <w:rFonts w:asciiTheme="minorHAnsi" w:hAnsiTheme="minorHAnsi" w:cs="Roboto Lt"/>
          <w:b/>
          <w:color w:val="auto"/>
          <w:sz w:val="20"/>
          <w:szCs w:val="20"/>
          <w:u w:val="single"/>
        </w:rPr>
        <w:t>Opis przedmiotu zamówienia (OPZ)</w:t>
      </w:r>
    </w:p>
    <w:p w14:paraId="2FBC81C7" w14:textId="77777777" w:rsidR="00102C61" w:rsidRPr="000020EF" w:rsidRDefault="00102C61" w:rsidP="00102C61">
      <w:pPr>
        <w:pStyle w:val="Podstawowyakapitowy"/>
        <w:spacing w:line="276" w:lineRule="auto"/>
        <w:rPr>
          <w:rFonts w:asciiTheme="minorHAnsi" w:hAnsiTheme="minorHAnsi" w:cs="Roboto Lt"/>
          <w:color w:val="auto"/>
          <w:sz w:val="20"/>
          <w:szCs w:val="20"/>
          <w:u w:val="single"/>
        </w:rPr>
      </w:pPr>
    </w:p>
    <w:p w14:paraId="6DCB725A" w14:textId="62A403FB" w:rsidR="00102C61" w:rsidRPr="000020EF" w:rsidRDefault="00102C61" w:rsidP="00102C61">
      <w:pPr>
        <w:pStyle w:val="Podstawowyakapitowy"/>
        <w:numPr>
          <w:ilvl w:val="0"/>
          <w:numId w:val="13"/>
        </w:numPr>
        <w:spacing w:after="200" w:line="276" w:lineRule="auto"/>
        <w:ind w:hanging="1080"/>
        <w:jc w:val="both"/>
        <w:rPr>
          <w:rFonts w:asciiTheme="minorHAnsi" w:hAnsiTheme="minorHAnsi" w:cs="Roboto Lt"/>
          <w:b/>
          <w:color w:val="auto"/>
          <w:sz w:val="20"/>
          <w:szCs w:val="20"/>
        </w:rPr>
      </w:pPr>
      <w:r w:rsidRPr="000020EF">
        <w:rPr>
          <w:rFonts w:asciiTheme="minorHAnsi" w:hAnsiTheme="minorHAnsi" w:cs="Roboto Lt"/>
          <w:b/>
          <w:color w:val="auto"/>
          <w:sz w:val="20"/>
          <w:szCs w:val="20"/>
        </w:rPr>
        <w:t>Przedmiot zamówienia</w:t>
      </w:r>
    </w:p>
    <w:p w14:paraId="4939B057" w14:textId="76C3B9A9" w:rsidR="00A661DD" w:rsidRPr="000020EF" w:rsidRDefault="00664E7D" w:rsidP="00A661DD">
      <w:pPr>
        <w:spacing w:after="0" w:line="240" w:lineRule="auto"/>
        <w:rPr>
          <w:rFonts w:cs="Tahoma"/>
          <w:szCs w:val="20"/>
        </w:rPr>
      </w:pPr>
      <w:r w:rsidRPr="000020EF">
        <w:rPr>
          <w:rFonts w:cs="Tahoma"/>
          <w:szCs w:val="20"/>
        </w:rPr>
        <w:t>Zestaw urządzeń do wstępnych analiz zawartości węgla oraz pierwiastków towarzyszących</w:t>
      </w:r>
      <w:r w:rsidR="00A661DD" w:rsidRPr="000020EF">
        <w:rPr>
          <w:rFonts w:cs="Tahoma"/>
          <w:szCs w:val="20"/>
        </w:rPr>
        <w:t xml:space="preserve">: cześć </w:t>
      </w:r>
      <w:r w:rsidR="002B7B94" w:rsidRPr="000020EF">
        <w:rPr>
          <w:rFonts w:cs="Tahoma"/>
          <w:szCs w:val="20"/>
        </w:rPr>
        <w:t>2</w:t>
      </w:r>
      <w:r w:rsidR="00A661DD" w:rsidRPr="000020EF">
        <w:rPr>
          <w:rFonts w:cs="Tahoma"/>
          <w:szCs w:val="20"/>
        </w:rPr>
        <w:t xml:space="preserve">: </w:t>
      </w:r>
      <w:r w:rsidRPr="000020EF">
        <w:rPr>
          <w:rFonts w:cs="Tahoma"/>
          <w:szCs w:val="20"/>
        </w:rPr>
        <w:t xml:space="preserve">Analizator do oznaczenia zawartości węgla i siarki w materiałach o matrycy </w:t>
      </w:r>
      <w:r w:rsidR="0010799D" w:rsidRPr="000020EF">
        <w:rPr>
          <w:rFonts w:cs="Tahoma"/>
          <w:szCs w:val="20"/>
        </w:rPr>
        <w:t>nie</w:t>
      </w:r>
      <w:r w:rsidRPr="000020EF">
        <w:rPr>
          <w:rFonts w:cs="Tahoma"/>
          <w:szCs w:val="20"/>
        </w:rPr>
        <w:t>organicznej</w:t>
      </w:r>
      <w:r w:rsidR="000020EF">
        <w:rPr>
          <w:rFonts w:cs="Tahoma"/>
          <w:szCs w:val="20"/>
        </w:rPr>
        <w:t>.</w:t>
      </w:r>
    </w:p>
    <w:p w14:paraId="17E1BABD" w14:textId="77777777" w:rsidR="00102C61" w:rsidRPr="000020EF" w:rsidRDefault="00102C61" w:rsidP="00102C61">
      <w:pPr>
        <w:pStyle w:val="Podstawowyakapitowy"/>
        <w:spacing w:after="200" w:line="276" w:lineRule="auto"/>
        <w:ind w:left="1080"/>
        <w:jc w:val="both"/>
        <w:rPr>
          <w:rFonts w:asciiTheme="minorHAnsi" w:hAnsiTheme="minorHAnsi" w:cs="Roboto Lt"/>
          <w:b/>
          <w:color w:val="auto"/>
          <w:sz w:val="20"/>
          <w:szCs w:val="20"/>
        </w:rPr>
      </w:pPr>
    </w:p>
    <w:p w14:paraId="55A193F5" w14:textId="77777777" w:rsidR="00102C61" w:rsidRPr="000020EF" w:rsidRDefault="00102C61" w:rsidP="00102C61">
      <w:pPr>
        <w:pStyle w:val="Akapitzlist"/>
        <w:numPr>
          <w:ilvl w:val="0"/>
          <w:numId w:val="13"/>
        </w:numPr>
        <w:ind w:hanging="1080"/>
        <w:jc w:val="both"/>
        <w:rPr>
          <w:b/>
          <w:sz w:val="20"/>
          <w:szCs w:val="20"/>
        </w:rPr>
      </w:pPr>
      <w:r w:rsidRPr="000020EF">
        <w:rPr>
          <w:b/>
          <w:sz w:val="20"/>
          <w:szCs w:val="20"/>
        </w:rPr>
        <w:t>Główne funkcje urządzenia</w:t>
      </w:r>
    </w:p>
    <w:tbl>
      <w:tblPr>
        <w:tblStyle w:val="Tabela-Siatka"/>
        <w:tblW w:w="8153" w:type="dxa"/>
        <w:tblLook w:val="04A0" w:firstRow="1" w:lastRow="0" w:firstColumn="1" w:lastColumn="0" w:noHBand="0" w:noVBand="1"/>
      </w:tblPr>
      <w:tblGrid>
        <w:gridCol w:w="614"/>
        <w:gridCol w:w="5658"/>
        <w:gridCol w:w="1881"/>
      </w:tblGrid>
      <w:tr w:rsidR="00102C61" w:rsidRPr="000020EF" w14:paraId="388F682B" w14:textId="1D50BA60" w:rsidTr="000020EF">
        <w:tc>
          <w:tcPr>
            <w:tcW w:w="614" w:type="dxa"/>
            <w:vAlign w:val="center"/>
          </w:tcPr>
          <w:p w14:paraId="72FC5110" w14:textId="77777777" w:rsidR="00102C61" w:rsidRPr="000020EF" w:rsidRDefault="00102C61" w:rsidP="000020EF">
            <w:pPr>
              <w:jc w:val="center"/>
              <w:rPr>
                <w:rFonts w:cs="Tahoma"/>
                <w:szCs w:val="20"/>
              </w:rPr>
            </w:pPr>
            <w:r w:rsidRPr="000020EF">
              <w:rPr>
                <w:rFonts w:cs="Tahoma"/>
                <w:szCs w:val="20"/>
              </w:rPr>
              <w:t>L.p.</w:t>
            </w:r>
          </w:p>
        </w:tc>
        <w:tc>
          <w:tcPr>
            <w:tcW w:w="5658" w:type="dxa"/>
            <w:vAlign w:val="center"/>
          </w:tcPr>
          <w:p w14:paraId="54BED8C9" w14:textId="3411B895" w:rsidR="00102C61" w:rsidRPr="000020EF" w:rsidRDefault="00102C61" w:rsidP="000020EF">
            <w:pPr>
              <w:pStyle w:val="Adreszwrotnynakopercie"/>
              <w:jc w:val="center"/>
              <w:rPr>
                <w:rFonts w:asciiTheme="minorHAnsi" w:hAnsiTheme="minorHAnsi" w:cs="Tahoma"/>
                <w:b/>
                <w:sz w:val="20"/>
              </w:rPr>
            </w:pPr>
            <w:r w:rsidRPr="000020EF">
              <w:rPr>
                <w:rFonts w:asciiTheme="minorHAnsi" w:hAnsiTheme="minorHAnsi" w:cs="Tahoma"/>
                <w:b/>
                <w:sz w:val="20"/>
              </w:rPr>
              <w:t xml:space="preserve">Minimalne parametry </w:t>
            </w:r>
            <w:r w:rsidR="00EE702E" w:rsidRPr="000020EF">
              <w:rPr>
                <w:rFonts w:asciiTheme="minorHAnsi" w:hAnsiTheme="minorHAnsi" w:cs="Tahoma"/>
                <w:b/>
                <w:sz w:val="20"/>
              </w:rPr>
              <w:t>użytkowe:</w:t>
            </w:r>
          </w:p>
        </w:tc>
        <w:tc>
          <w:tcPr>
            <w:tcW w:w="1881" w:type="dxa"/>
            <w:vAlign w:val="center"/>
          </w:tcPr>
          <w:p w14:paraId="2AB59F85" w14:textId="77777777" w:rsidR="000020EF" w:rsidRPr="00C87A67" w:rsidRDefault="000020EF" w:rsidP="000020EF">
            <w:pPr>
              <w:widowControl w:val="0"/>
              <w:suppressAutoHyphens/>
              <w:spacing w:after="0" w:line="240" w:lineRule="auto"/>
              <w:ind w:left="57"/>
              <w:jc w:val="center"/>
              <w:rPr>
                <w:rFonts w:eastAsia="Verdana,Verdana,Arial" w:cs="Calibri"/>
                <w:b/>
                <w:bCs/>
                <w:color w:val="000000"/>
                <w:spacing w:val="0"/>
                <w:szCs w:val="20"/>
                <w:lang w:eastAsia="pl-PL"/>
              </w:rPr>
            </w:pPr>
            <w:r w:rsidRPr="00C87A67">
              <w:rPr>
                <w:rFonts w:eastAsia="Verdana,Verdana,Arial" w:cs="Calibri"/>
                <w:b/>
                <w:bCs/>
                <w:color w:val="000000"/>
                <w:spacing w:val="0"/>
                <w:szCs w:val="20"/>
                <w:lang w:eastAsia="pl-PL"/>
              </w:rPr>
              <w:t>Oferta Wykonawcy</w:t>
            </w:r>
          </w:p>
          <w:p w14:paraId="14B5688B" w14:textId="77777777" w:rsidR="000020EF" w:rsidRPr="00C87A67" w:rsidRDefault="000020EF" w:rsidP="000020EF">
            <w:pPr>
              <w:widowControl w:val="0"/>
              <w:suppressAutoHyphens/>
              <w:spacing w:after="0" w:line="240" w:lineRule="auto"/>
              <w:ind w:left="57"/>
              <w:jc w:val="center"/>
              <w:rPr>
                <w:rFonts w:eastAsia="Verdana,Verdana,Arial" w:cs="Calibri"/>
                <w:b/>
                <w:bCs/>
                <w:color w:val="auto"/>
                <w:spacing w:val="0"/>
                <w:szCs w:val="20"/>
                <w:lang w:eastAsia="pl-PL"/>
              </w:rPr>
            </w:pPr>
            <w:r w:rsidRPr="00C87A67">
              <w:rPr>
                <w:rFonts w:eastAsia="Verdana,Verdana,Arial" w:cs="Calibri"/>
                <w:b/>
                <w:bCs/>
                <w:color w:val="auto"/>
                <w:spacing w:val="0"/>
                <w:szCs w:val="20"/>
                <w:lang w:eastAsia="pl-PL"/>
              </w:rPr>
              <w:t>Potwierdzenie spełnienia wymagania</w:t>
            </w:r>
          </w:p>
          <w:p w14:paraId="3D0AC739" w14:textId="0E784AF4" w:rsidR="00102C61" w:rsidRPr="000020EF" w:rsidRDefault="000020EF" w:rsidP="000020EF">
            <w:pPr>
              <w:pStyle w:val="Adreszwrotnynakopercie"/>
              <w:jc w:val="center"/>
              <w:rPr>
                <w:rFonts w:asciiTheme="minorHAnsi" w:hAnsiTheme="minorHAnsi" w:cs="Tahoma"/>
                <w:b/>
                <w:sz w:val="20"/>
              </w:rPr>
            </w:pPr>
            <w:r w:rsidRPr="00C87A67">
              <w:rPr>
                <w:rFonts w:asciiTheme="minorHAnsi" w:eastAsia="Verdana,Verdana,Arial" w:hAnsiTheme="minorHAnsi" w:cs="Calibri"/>
                <w:i/>
                <w:sz w:val="20"/>
              </w:rPr>
              <w:t xml:space="preserve">(Tak </w:t>
            </w:r>
            <w:r w:rsidRPr="00C87A67">
              <w:rPr>
                <w:rFonts w:asciiTheme="minorHAnsi" w:eastAsia="Verdana,Verdana,Arial" w:hAnsiTheme="minorHAnsi" w:cs="Calibri"/>
                <w:i/>
                <w:color w:val="000000"/>
                <w:sz w:val="20"/>
              </w:rPr>
              <w:t>albo</w:t>
            </w:r>
            <w:r w:rsidRPr="00C87A67">
              <w:rPr>
                <w:rFonts w:asciiTheme="minorHAnsi" w:eastAsia="Verdana,Verdana,Arial" w:hAnsiTheme="minorHAnsi" w:cs="Calibri"/>
                <w:i/>
                <w:color w:val="FF0000"/>
                <w:sz w:val="20"/>
              </w:rPr>
              <w:t xml:space="preserve"> </w:t>
            </w:r>
            <w:r w:rsidRPr="00C87A67">
              <w:rPr>
                <w:rFonts w:asciiTheme="minorHAnsi" w:eastAsia="Verdana,Verdana,Arial" w:hAnsiTheme="minorHAnsi" w:cs="Calibri"/>
                <w:i/>
                <w:sz w:val="20"/>
              </w:rPr>
              <w:t xml:space="preserve">Nie- niepotrzebne skreślić) </w:t>
            </w:r>
            <w:r w:rsidRPr="00C87A67">
              <w:rPr>
                <w:rFonts w:asciiTheme="minorHAnsi" w:hAnsiTheme="minorHAnsi" w:cs="Tahoma"/>
                <w:bCs/>
                <w:i/>
                <w:sz w:val="20"/>
              </w:rPr>
              <w:t>Kolumnę wypełnia Wykonawca</w:t>
            </w:r>
          </w:p>
        </w:tc>
      </w:tr>
      <w:tr w:rsidR="000020EF" w:rsidRPr="000020EF" w14:paraId="57E5F873" w14:textId="6189A115" w:rsidTr="000020EF">
        <w:tc>
          <w:tcPr>
            <w:tcW w:w="614" w:type="dxa"/>
          </w:tcPr>
          <w:p w14:paraId="709C0898" w14:textId="5E60DF7A" w:rsidR="000020EF" w:rsidRPr="000020EF" w:rsidRDefault="000020EF" w:rsidP="000020EF">
            <w:pPr>
              <w:spacing w:after="0" w:line="240" w:lineRule="auto"/>
              <w:rPr>
                <w:rFonts w:cs="Tahoma"/>
                <w:szCs w:val="20"/>
              </w:rPr>
            </w:pPr>
            <w:r w:rsidRPr="000020EF">
              <w:rPr>
                <w:rFonts w:cs="Tahoma"/>
                <w:szCs w:val="20"/>
              </w:rPr>
              <w:t>1.</w:t>
            </w:r>
          </w:p>
        </w:tc>
        <w:tc>
          <w:tcPr>
            <w:tcW w:w="5658" w:type="dxa"/>
          </w:tcPr>
          <w:p w14:paraId="2D029A4B" w14:textId="7FECBD61" w:rsidR="000020EF" w:rsidRPr="000020EF" w:rsidRDefault="000020EF" w:rsidP="000020EF">
            <w:pPr>
              <w:spacing w:after="0" w:line="240" w:lineRule="auto"/>
              <w:rPr>
                <w:rFonts w:cs="Tahoma"/>
                <w:szCs w:val="20"/>
              </w:rPr>
            </w:pPr>
            <w:r w:rsidRPr="000020EF">
              <w:rPr>
                <w:rFonts w:cs="Tahoma"/>
                <w:szCs w:val="20"/>
              </w:rPr>
              <w:t xml:space="preserve">Analizator umożliwiający jednoczesną analizę węgla oraz siarki w materiałach o matrycy nieorganicznej </w:t>
            </w:r>
          </w:p>
        </w:tc>
        <w:tc>
          <w:tcPr>
            <w:tcW w:w="1881" w:type="dxa"/>
            <w:vAlign w:val="center"/>
          </w:tcPr>
          <w:p w14:paraId="77F5987D" w14:textId="0F8A83D8" w:rsidR="000020EF" w:rsidRPr="000020EF" w:rsidRDefault="000020EF" w:rsidP="000020EF">
            <w:pPr>
              <w:pStyle w:val="Adreszwrotnynakopercie"/>
              <w:jc w:val="center"/>
              <w:rPr>
                <w:rFonts w:asciiTheme="minorHAnsi" w:eastAsiaTheme="minorHAnsi" w:hAnsiTheme="minorHAnsi" w:cs="Tahoma"/>
                <w:color w:val="000000" w:themeColor="background1"/>
                <w:spacing w:val="4"/>
                <w:sz w:val="20"/>
                <w:lang w:eastAsia="en-US"/>
              </w:rPr>
            </w:pPr>
            <w:r w:rsidRPr="000020EF">
              <w:rPr>
                <w:rFonts w:asciiTheme="minorHAnsi" w:hAnsiTheme="minorHAnsi"/>
                <w:sz w:val="20"/>
              </w:rPr>
              <w:t>TAK/NIE</w:t>
            </w:r>
          </w:p>
        </w:tc>
      </w:tr>
      <w:tr w:rsidR="000020EF" w:rsidRPr="000020EF" w14:paraId="710A7E3C" w14:textId="23E7E8E6" w:rsidTr="000020EF">
        <w:tc>
          <w:tcPr>
            <w:tcW w:w="614" w:type="dxa"/>
          </w:tcPr>
          <w:p w14:paraId="2C793F60" w14:textId="1E21BDD8" w:rsidR="000020EF" w:rsidRPr="000020EF" w:rsidRDefault="000020EF" w:rsidP="000020EF">
            <w:pPr>
              <w:spacing w:after="0" w:line="240" w:lineRule="auto"/>
              <w:rPr>
                <w:rFonts w:cs="Tahoma"/>
                <w:szCs w:val="20"/>
              </w:rPr>
            </w:pPr>
            <w:r w:rsidRPr="000020EF">
              <w:rPr>
                <w:rFonts w:cs="Tahoma"/>
                <w:szCs w:val="20"/>
              </w:rPr>
              <w:t>2.</w:t>
            </w:r>
          </w:p>
        </w:tc>
        <w:tc>
          <w:tcPr>
            <w:tcW w:w="5658" w:type="dxa"/>
          </w:tcPr>
          <w:p w14:paraId="744E0B0A" w14:textId="563400F5" w:rsidR="000020EF" w:rsidRPr="000020EF" w:rsidRDefault="000020EF" w:rsidP="000020EF">
            <w:pPr>
              <w:spacing w:after="0" w:line="240" w:lineRule="auto"/>
              <w:rPr>
                <w:rFonts w:cs="Tahoma"/>
                <w:szCs w:val="20"/>
              </w:rPr>
            </w:pPr>
            <w:r w:rsidRPr="000020EF">
              <w:rPr>
                <w:rFonts w:cs="Tahoma"/>
                <w:szCs w:val="20"/>
              </w:rPr>
              <w:t>System pomiarowy oraz wysokotemperaturowy piec indukcyjny w jednej obudowie</w:t>
            </w:r>
          </w:p>
        </w:tc>
        <w:tc>
          <w:tcPr>
            <w:tcW w:w="1881" w:type="dxa"/>
            <w:vAlign w:val="center"/>
          </w:tcPr>
          <w:p w14:paraId="12DE9234" w14:textId="4FF0B648" w:rsidR="000020EF" w:rsidRPr="000020EF" w:rsidRDefault="000020EF" w:rsidP="000020EF">
            <w:pPr>
              <w:spacing w:after="0" w:line="240" w:lineRule="auto"/>
              <w:jc w:val="center"/>
              <w:rPr>
                <w:rFonts w:cs="Tahoma"/>
                <w:szCs w:val="20"/>
              </w:rPr>
            </w:pPr>
            <w:r w:rsidRPr="000020EF">
              <w:rPr>
                <w:szCs w:val="20"/>
              </w:rPr>
              <w:t>TAK/NIE</w:t>
            </w:r>
          </w:p>
        </w:tc>
      </w:tr>
      <w:tr w:rsidR="000020EF" w:rsidRPr="000020EF" w14:paraId="007C3999" w14:textId="77777777" w:rsidTr="000020EF">
        <w:tc>
          <w:tcPr>
            <w:tcW w:w="614" w:type="dxa"/>
          </w:tcPr>
          <w:p w14:paraId="528EBE01" w14:textId="41C02932" w:rsidR="000020EF" w:rsidRPr="000020EF" w:rsidRDefault="000020EF" w:rsidP="000020EF">
            <w:pPr>
              <w:spacing w:after="0" w:line="240" w:lineRule="auto"/>
              <w:rPr>
                <w:rFonts w:cs="Tahoma"/>
                <w:szCs w:val="20"/>
              </w:rPr>
            </w:pPr>
            <w:r w:rsidRPr="000020EF">
              <w:rPr>
                <w:rFonts w:cs="Tahoma"/>
                <w:szCs w:val="20"/>
              </w:rPr>
              <w:t>3.</w:t>
            </w:r>
          </w:p>
        </w:tc>
        <w:tc>
          <w:tcPr>
            <w:tcW w:w="5658" w:type="dxa"/>
          </w:tcPr>
          <w:p w14:paraId="491C0647" w14:textId="02F85A8F" w:rsidR="000020EF" w:rsidRPr="000020EF" w:rsidRDefault="000020EF" w:rsidP="000020EF">
            <w:pPr>
              <w:spacing w:after="0" w:line="240" w:lineRule="auto"/>
              <w:rPr>
                <w:rFonts w:cs="Tahoma"/>
                <w:szCs w:val="20"/>
              </w:rPr>
            </w:pPr>
            <w:r w:rsidRPr="000020EF">
              <w:rPr>
                <w:rFonts w:cs="Tahoma"/>
                <w:szCs w:val="20"/>
              </w:rPr>
              <w:t>Zakres roboczych temperatur pieca indukcyjnego umożliwiający spalanie materiałów takich jak: ceramika, stale, stopy metali</w:t>
            </w:r>
          </w:p>
        </w:tc>
        <w:tc>
          <w:tcPr>
            <w:tcW w:w="1881" w:type="dxa"/>
            <w:vAlign w:val="center"/>
          </w:tcPr>
          <w:p w14:paraId="5329AA6F" w14:textId="608DC690" w:rsidR="000020EF" w:rsidRPr="000020EF" w:rsidRDefault="000020EF" w:rsidP="000020EF">
            <w:pPr>
              <w:spacing w:after="0" w:line="240" w:lineRule="auto"/>
              <w:jc w:val="center"/>
              <w:rPr>
                <w:rFonts w:cs="Tahoma"/>
                <w:szCs w:val="20"/>
              </w:rPr>
            </w:pPr>
            <w:r w:rsidRPr="000020EF">
              <w:rPr>
                <w:szCs w:val="20"/>
              </w:rPr>
              <w:t>TAK/NIE</w:t>
            </w:r>
          </w:p>
        </w:tc>
      </w:tr>
      <w:tr w:rsidR="000020EF" w:rsidRPr="000020EF" w14:paraId="6D1BBF85" w14:textId="77777777" w:rsidTr="000020EF">
        <w:tc>
          <w:tcPr>
            <w:tcW w:w="614" w:type="dxa"/>
          </w:tcPr>
          <w:p w14:paraId="2FC1D56E" w14:textId="6EBF2D65" w:rsidR="000020EF" w:rsidRPr="000020EF" w:rsidRDefault="000020EF" w:rsidP="000020EF">
            <w:pPr>
              <w:spacing w:after="0" w:line="240" w:lineRule="auto"/>
              <w:rPr>
                <w:rFonts w:cs="Tahoma"/>
                <w:szCs w:val="20"/>
              </w:rPr>
            </w:pPr>
            <w:r w:rsidRPr="000020EF">
              <w:rPr>
                <w:rFonts w:cs="Tahoma"/>
                <w:szCs w:val="20"/>
              </w:rPr>
              <w:t>4.</w:t>
            </w:r>
          </w:p>
        </w:tc>
        <w:tc>
          <w:tcPr>
            <w:tcW w:w="5658" w:type="dxa"/>
          </w:tcPr>
          <w:p w14:paraId="3A25A066" w14:textId="40649E3B" w:rsidR="000020EF" w:rsidRPr="000020EF" w:rsidRDefault="000020EF" w:rsidP="000020EF">
            <w:pPr>
              <w:spacing w:after="0" w:line="240" w:lineRule="auto"/>
              <w:rPr>
                <w:rFonts w:cs="Tahoma"/>
                <w:szCs w:val="20"/>
                <w:highlight w:val="red"/>
              </w:rPr>
            </w:pPr>
            <w:r w:rsidRPr="000020EF">
              <w:rPr>
                <w:rFonts w:cs="Tahoma"/>
                <w:szCs w:val="20"/>
              </w:rPr>
              <w:t>Oprogramowanie umożliwiające tworzenie dowolnej liczby metod analitycznych w zależności od analizowanych materiałów. Możliwość podglądu i edycji parametrów kalibracyjnych przez użytkownika.</w:t>
            </w:r>
          </w:p>
        </w:tc>
        <w:tc>
          <w:tcPr>
            <w:tcW w:w="1881" w:type="dxa"/>
            <w:vAlign w:val="center"/>
          </w:tcPr>
          <w:p w14:paraId="50872ED0" w14:textId="3A077D6C" w:rsidR="000020EF" w:rsidRPr="000020EF" w:rsidRDefault="000020EF" w:rsidP="000020EF">
            <w:pPr>
              <w:spacing w:after="0" w:line="240" w:lineRule="auto"/>
              <w:jc w:val="center"/>
              <w:rPr>
                <w:rFonts w:cs="Tahoma"/>
                <w:szCs w:val="20"/>
              </w:rPr>
            </w:pPr>
            <w:r w:rsidRPr="000020EF">
              <w:rPr>
                <w:szCs w:val="20"/>
              </w:rPr>
              <w:t>TAK/NIE</w:t>
            </w:r>
          </w:p>
        </w:tc>
      </w:tr>
      <w:tr w:rsidR="000020EF" w:rsidRPr="000020EF" w14:paraId="0A133B3F" w14:textId="77777777" w:rsidTr="000020EF">
        <w:tc>
          <w:tcPr>
            <w:tcW w:w="614" w:type="dxa"/>
          </w:tcPr>
          <w:p w14:paraId="69346153" w14:textId="3975BB59" w:rsidR="000020EF" w:rsidRPr="000020EF" w:rsidRDefault="000020EF" w:rsidP="000020EF">
            <w:pPr>
              <w:spacing w:after="0" w:line="240" w:lineRule="auto"/>
              <w:rPr>
                <w:rFonts w:cs="Tahoma"/>
                <w:szCs w:val="20"/>
              </w:rPr>
            </w:pPr>
            <w:r w:rsidRPr="000020EF">
              <w:rPr>
                <w:rFonts w:cs="Tahoma"/>
                <w:szCs w:val="20"/>
              </w:rPr>
              <w:t>5.</w:t>
            </w:r>
          </w:p>
        </w:tc>
        <w:tc>
          <w:tcPr>
            <w:tcW w:w="5658" w:type="dxa"/>
          </w:tcPr>
          <w:p w14:paraId="1986A9FC" w14:textId="4ACA1626" w:rsidR="000020EF" w:rsidRPr="000020EF" w:rsidRDefault="000020EF" w:rsidP="000020EF">
            <w:pPr>
              <w:spacing w:after="0" w:line="240" w:lineRule="auto"/>
              <w:rPr>
                <w:rFonts w:cs="Tahoma"/>
                <w:szCs w:val="20"/>
              </w:rPr>
            </w:pPr>
            <w:r w:rsidRPr="000020EF">
              <w:rPr>
                <w:rFonts w:cs="Tahoma"/>
                <w:szCs w:val="20"/>
              </w:rPr>
              <w:t>Automatyczny system czyszczenia pieca wraz z automatycznym odkurzaczem zapewniającym odsysanie pyłu</w:t>
            </w:r>
          </w:p>
        </w:tc>
        <w:tc>
          <w:tcPr>
            <w:tcW w:w="1881" w:type="dxa"/>
            <w:vAlign w:val="center"/>
          </w:tcPr>
          <w:p w14:paraId="5E33F38C" w14:textId="4C635C6B" w:rsidR="000020EF" w:rsidRPr="000020EF" w:rsidRDefault="000020EF" w:rsidP="000020EF">
            <w:pPr>
              <w:spacing w:after="0" w:line="240" w:lineRule="auto"/>
              <w:jc w:val="center"/>
              <w:rPr>
                <w:rFonts w:cs="Tahoma"/>
                <w:szCs w:val="20"/>
              </w:rPr>
            </w:pPr>
            <w:r w:rsidRPr="000020EF">
              <w:rPr>
                <w:szCs w:val="20"/>
              </w:rPr>
              <w:t>TAK/NIE</w:t>
            </w:r>
          </w:p>
        </w:tc>
      </w:tr>
      <w:tr w:rsidR="000020EF" w:rsidRPr="000020EF" w14:paraId="4E989BF0" w14:textId="77777777" w:rsidTr="000020EF">
        <w:tc>
          <w:tcPr>
            <w:tcW w:w="614" w:type="dxa"/>
          </w:tcPr>
          <w:p w14:paraId="5266A27B" w14:textId="659FDC5C" w:rsidR="000020EF" w:rsidRPr="000020EF" w:rsidRDefault="000020EF" w:rsidP="000020EF">
            <w:pPr>
              <w:spacing w:after="0" w:line="240" w:lineRule="auto"/>
              <w:rPr>
                <w:rFonts w:cs="Tahoma"/>
                <w:szCs w:val="20"/>
              </w:rPr>
            </w:pPr>
            <w:r w:rsidRPr="000020EF">
              <w:rPr>
                <w:rFonts w:cs="Tahoma"/>
                <w:szCs w:val="20"/>
              </w:rPr>
              <w:t>6.</w:t>
            </w:r>
          </w:p>
        </w:tc>
        <w:tc>
          <w:tcPr>
            <w:tcW w:w="5658" w:type="dxa"/>
          </w:tcPr>
          <w:p w14:paraId="467417A8" w14:textId="5C6085D2" w:rsidR="000020EF" w:rsidRPr="000020EF" w:rsidRDefault="000020EF" w:rsidP="000020EF">
            <w:pPr>
              <w:spacing w:after="0" w:line="240" w:lineRule="auto"/>
              <w:rPr>
                <w:rFonts w:cs="Tahoma"/>
                <w:szCs w:val="20"/>
              </w:rPr>
            </w:pPr>
            <w:r w:rsidRPr="000020EF">
              <w:rPr>
                <w:rFonts w:cs="Tahoma"/>
                <w:szCs w:val="20"/>
              </w:rPr>
              <w:t>Automatyczny system wymiany rury spalania</w:t>
            </w:r>
          </w:p>
        </w:tc>
        <w:tc>
          <w:tcPr>
            <w:tcW w:w="1881" w:type="dxa"/>
            <w:vAlign w:val="center"/>
          </w:tcPr>
          <w:p w14:paraId="6EBC731A" w14:textId="1ADD59F4" w:rsidR="000020EF" w:rsidRPr="000020EF" w:rsidRDefault="000020EF" w:rsidP="000020EF">
            <w:pPr>
              <w:spacing w:after="0" w:line="240" w:lineRule="auto"/>
              <w:jc w:val="center"/>
              <w:rPr>
                <w:rFonts w:cs="Tahoma"/>
                <w:szCs w:val="20"/>
              </w:rPr>
            </w:pPr>
            <w:r w:rsidRPr="000020EF">
              <w:rPr>
                <w:szCs w:val="20"/>
              </w:rPr>
              <w:t>TAK/NIE</w:t>
            </w:r>
          </w:p>
        </w:tc>
      </w:tr>
      <w:tr w:rsidR="000020EF" w:rsidRPr="000020EF" w14:paraId="32E1782A" w14:textId="77777777" w:rsidTr="000020EF">
        <w:tc>
          <w:tcPr>
            <w:tcW w:w="614" w:type="dxa"/>
          </w:tcPr>
          <w:p w14:paraId="5A46A3CE" w14:textId="5E80B102" w:rsidR="000020EF" w:rsidRPr="000020EF" w:rsidRDefault="000020EF" w:rsidP="000020EF">
            <w:pPr>
              <w:spacing w:after="0" w:line="240" w:lineRule="auto"/>
              <w:rPr>
                <w:rFonts w:cs="Tahoma"/>
                <w:szCs w:val="20"/>
              </w:rPr>
            </w:pPr>
            <w:r w:rsidRPr="000020EF">
              <w:rPr>
                <w:rFonts w:cs="Tahoma"/>
                <w:szCs w:val="20"/>
              </w:rPr>
              <w:t>7.</w:t>
            </w:r>
          </w:p>
        </w:tc>
        <w:tc>
          <w:tcPr>
            <w:tcW w:w="5658" w:type="dxa"/>
          </w:tcPr>
          <w:p w14:paraId="6306F9A3" w14:textId="1F3CA50E" w:rsidR="000020EF" w:rsidRPr="000020EF" w:rsidRDefault="000020EF" w:rsidP="000020EF">
            <w:pPr>
              <w:spacing w:after="0" w:line="240" w:lineRule="auto"/>
              <w:rPr>
                <w:rFonts w:cs="Tahoma"/>
                <w:szCs w:val="20"/>
                <w:highlight w:val="red"/>
              </w:rPr>
            </w:pPr>
            <w:r w:rsidRPr="000020EF">
              <w:rPr>
                <w:rFonts w:cs="Tahoma"/>
                <w:szCs w:val="20"/>
              </w:rPr>
              <w:t xml:space="preserve">Niezależne detektory z wewnętrzną stabilizacją temperaturową do pomiaru węgla i siarki metodą absorpcji w podczerwieni IR </w:t>
            </w:r>
          </w:p>
        </w:tc>
        <w:tc>
          <w:tcPr>
            <w:tcW w:w="1881" w:type="dxa"/>
            <w:vAlign w:val="center"/>
          </w:tcPr>
          <w:p w14:paraId="1DA3E052" w14:textId="38D09A64" w:rsidR="000020EF" w:rsidRPr="000020EF" w:rsidRDefault="000020EF" w:rsidP="000020EF">
            <w:pPr>
              <w:spacing w:after="0" w:line="240" w:lineRule="auto"/>
              <w:jc w:val="center"/>
              <w:rPr>
                <w:rFonts w:cs="Tahoma"/>
                <w:szCs w:val="20"/>
              </w:rPr>
            </w:pPr>
            <w:r w:rsidRPr="000020EF">
              <w:rPr>
                <w:szCs w:val="20"/>
              </w:rPr>
              <w:t>TAK/NIE</w:t>
            </w:r>
          </w:p>
        </w:tc>
      </w:tr>
      <w:tr w:rsidR="000020EF" w:rsidRPr="000020EF" w14:paraId="7A204BC8" w14:textId="77777777" w:rsidTr="000020EF">
        <w:tc>
          <w:tcPr>
            <w:tcW w:w="614" w:type="dxa"/>
          </w:tcPr>
          <w:p w14:paraId="3B1113B6" w14:textId="27A70EF4" w:rsidR="000020EF" w:rsidRPr="000020EF" w:rsidRDefault="000020EF" w:rsidP="000020EF">
            <w:pPr>
              <w:spacing w:after="0" w:line="240" w:lineRule="auto"/>
              <w:rPr>
                <w:rFonts w:cs="Tahoma"/>
                <w:szCs w:val="20"/>
              </w:rPr>
            </w:pPr>
            <w:r w:rsidRPr="000020EF">
              <w:rPr>
                <w:rFonts w:cs="Tahoma"/>
                <w:szCs w:val="20"/>
              </w:rPr>
              <w:lastRenderedPageBreak/>
              <w:t>8.</w:t>
            </w:r>
          </w:p>
        </w:tc>
        <w:tc>
          <w:tcPr>
            <w:tcW w:w="5658" w:type="dxa"/>
          </w:tcPr>
          <w:p w14:paraId="192E0B61" w14:textId="44D49617" w:rsidR="000020EF" w:rsidRPr="000020EF" w:rsidRDefault="000020EF" w:rsidP="000020EF">
            <w:pPr>
              <w:spacing w:after="0" w:line="240" w:lineRule="auto"/>
              <w:rPr>
                <w:rFonts w:cs="Tahoma"/>
                <w:szCs w:val="20"/>
              </w:rPr>
            </w:pPr>
            <w:r w:rsidRPr="000020EF">
              <w:rPr>
                <w:rFonts w:cs="Tahoma"/>
                <w:szCs w:val="20"/>
              </w:rPr>
              <w:t>Dwie płuczki szklane z osuszaczem wypełnionym watą szklaną i nadchloranem magnezu.</w:t>
            </w:r>
          </w:p>
        </w:tc>
        <w:tc>
          <w:tcPr>
            <w:tcW w:w="1881" w:type="dxa"/>
            <w:vAlign w:val="center"/>
          </w:tcPr>
          <w:p w14:paraId="16774F0C" w14:textId="35BFC35F" w:rsidR="000020EF" w:rsidRPr="000020EF" w:rsidRDefault="000020EF" w:rsidP="000020EF">
            <w:pPr>
              <w:spacing w:after="0" w:line="240" w:lineRule="auto"/>
              <w:jc w:val="center"/>
              <w:rPr>
                <w:rFonts w:cs="Tahoma"/>
                <w:szCs w:val="20"/>
              </w:rPr>
            </w:pPr>
            <w:r w:rsidRPr="000020EF">
              <w:rPr>
                <w:szCs w:val="20"/>
              </w:rPr>
              <w:t>TAK/NIE</w:t>
            </w:r>
          </w:p>
        </w:tc>
      </w:tr>
      <w:tr w:rsidR="000020EF" w:rsidRPr="000020EF" w14:paraId="182317F6" w14:textId="77777777" w:rsidTr="000020EF">
        <w:tc>
          <w:tcPr>
            <w:tcW w:w="614" w:type="dxa"/>
          </w:tcPr>
          <w:p w14:paraId="5DC76A82" w14:textId="377D6C54" w:rsidR="000020EF" w:rsidRPr="000020EF" w:rsidRDefault="000020EF" w:rsidP="000020EF">
            <w:pPr>
              <w:spacing w:after="0"/>
              <w:rPr>
                <w:rFonts w:cs="Tahoma"/>
                <w:szCs w:val="20"/>
              </w:rPr>
            </w:pPr>
            <w:r w:rsidRPr="000020EF">
              <w:rPr>
                <w:rFonts w:cs="Tahoma"/>
                <w:szCs w:val="20"/>
              </w:rPr>
              <w:t>9.</w:t>
            </w:r>
          </w:p>
        </w:tc>
        <w:tc>
          <w:tcPr>
            <w:tcW w:w="5658" w:type="dxa"/>
          </w:tcPr>
          <w:p w14:paraId="464DD9FD" w14:textId="798A1E9E" w:rsidR="000020EF" w:rsidRPr="000020EF" w:rsidRDefault="000020EF" w:rsidP="000020EF">
            <w:pPr>
              <w:spacing w:after="0" w:line="240" w:lineRule="auto"/>
              <w:rPr>
                <w:rFonts w:cs="Tahoma"/>
                <w:szCs w:val="20"/>
              </w:rPr>
            </w:pPr>
            <w:r w:rsidRPr="000020EF">
              <w:rPr>
                <w:rFonts w:cs="Tahoma"/>
                <w:szCs w:val="20"/>
              </w:rPr>
              <w:t>Kalibracja wielopunktowa dla węgla i siarki z użyciem wielu wzorców w całym zakresie pomiarowym w obrębie jednej metody. Możliwość korekty istniejącej kalibracji (nachylenia krzywej) w oparciu o analizę jednego wzorca.</w:t>
            </w:r>
          </w:p>
        </w:tc>
        <w:tc>
          <w:tcPr>
            <w:tcW w:w="1881" w:type="dxa"/>
            <w:vAlign w:val="center"/>
          </w:tcPr>
          <w:p w14:paraId="33B093CE" w14:textId="18B6F393" w:rsidR="000020EF" w:rsidRPr="000020EF" w:rsidRDefault="000020EF" w:rsidP="000020EF">
            <w:pPr>
              <w:spacing w:after="0"/>
              <w:jc w:val="center"/>
              <w:rPr>
                <w:szCs w:val="20"/>
              </w:rPr>
            </w:pPr>
            <w:r w:rsidRPr="000020EF">
              <w:rPr>
                <w:szCs w:val="20"/>
              </w:rPr>
              <w:t>TAK/NIE</w:t>
            </w:r>
          </w:p>
        </w:tc>
      </w:tr>
      <w:tr w:rsidR="000020EF" w:rsidRPr="000020EF" w14:paraId="3C9F2ADA" w14:textId="09FE0F30" w:rsidTr="000020EF">
        <w:tc>
          <w:tcPr>
            <w:tcW w:w="614" w:type="dxa"/>
          </w:tcPr>
          <w:p w14:paraId="7C073CB4" w14:textId="64B5A6A8" w:rsidR="000020EF" w:rsidRPr="000020EF" w:rsidRDefault="000020EF" w:rsidP="000020EF">
            <w:pPr>
              <w:spacing w:after="0" w:line="240" w:lineRule="auto"/>
              <w:rPr>
                <w:rFonts w:cs="Tahoma"/>
                <w:szCs w:val="20"/>
              </w:rPr>
            </w:pPr>
            <w:r w:rsidRPr="000020EF">
              <w:rPr>
                <w:rFonts w:cs="Tahoma"/>
                <w:szCs w:val="20"/>
              </w:rPr>
              <w:t>10.</w:t>
            </w:r>
          </w:p>
        </w:tc>
        <w:tc>
          <w:tcPr>
            <w:tcW w:w="5658" w:type="dxa"/>
          </w:tcPr>
          <w:p w14:paraId="17FF6A56" w14:textId="24775B1E" w:rsidR="000020EF" w:rsidRPr="000020EF" w:rsidRDefault="000020EF" w:rsidP="000020EF">
            <w:pPr>
              <w:spacing w:after="0" w:line="240" w:lineRule="auto"/>
              <w:rPr>
                <w:rFonts w:cs="Tahoma"/>
                <w:szCs w:val="20"/>
              </w:rPr>
            </w:pPr>
            <w:r w:rsidRPr="000020EF">
              <w:rPr>
                <w:rFonts w:cs="Tahoma"/>
                <w:szCs w:val="20"/>
              </w:rPr>
              <w:t>Oprogramowanie analityczne wyposażone w funkcję podręcznej statystyki dla wybranych zaznaczonych wyników (średnia, odchylenie standardowe i rozrzut wyników)</w:t>
            </w:r>
          </w:p>
        </w:tc>
        <w:tc>
          <w:tcPr>
            <w:tcW w:w="1881" w:type="dxa"/>
            <w:vAlign w:val="center"/>
          </w:tcPr>
          <w:p w14:paraId="72994999" w14:textId="3DAAFCA2" w:rsidR="000020EF" w:rsidRPr="000020EF" w:rsidRDefault="000020EF" w:rsidP="000020EF">
            <w:pPr>
              <w:spacing w:after="0" w:line="240" w:lineRule="auto"/>
              <w:jc w:val="center"/>
              <w:rPr>
                <w:rFonts w:cs="Tahoma"/>
                <w:szCs w:val="20"/>
              </w:rPr>
            </w:pPr>
            <w:r w:rsidRPr="000020EF">
              <w:rPr>
                <w:szCs w:val="20"/>
              </w:rPr>
              <w:t>TAK/NIE</w:t>
            </w:r>
          </w:p>
        </w:tc>
      </w:tr>
      <w:tr w:rsidR="000020EF" w:rsidRPr="000020EF" w14:paraId="38204528" w14:textId="77777777" w:rsidTr="000020EF">
        <w:tc>
          <w:tcPr>
            <w:tcW w:w="614" w:type="dxa"/>
          </w:tcPr>
          <w:p w14:paraId="0C5C0CB4" w14:textId="268B2F9D" w:rsidR="000020EF" w:rsidRPr="000020EF" w:rsidRDefault="000020EF" w:rsidP="000020EF">
            <w:pPr>
              <w:spacing w:after="0" w:line="240" w:lineRule="auto"/>
              <w:rPr>
                <w:rFonts w:cs="Tahoma"/>
                <w:szCs w:val="20"/>
              </w:rPr>
            </w:pPr>
            <w:r w:rsidRPr="000020EF">
              <w:rPr>
                <w:rFonts w:cs="Tahoma"/>
                <w:szCs w:val="20"/>
              </w:rPr>
              <w:t>11.</w:t>
            </w:r>
          </w:p>
        </w:tc>
        <w:tc>
          <w:tcPr>
            <w:tcW w:w="5658" w:type="dxa"/>
          </w:tcPr>
          <w:p w14:paraId="425FF9CE" w14:textId="7E84705B" w:rsidR="000020EF" w:rsidRPr="000020EF" w:rsidRDefault="000020EF" w:rsidP="000020EF">
            <w:pPr>
              <w:spacing w:after="0" w:line="240" w:lineRule="auto"/>
              <w:rPr>
                <w:rFonts w:cs="Tahoma"/>
                <w:szCs w:val="20"/>
              </w:rPr>
            </w:pPr>
            <w:r w:rsidRPr="000020EF">
              <w:rPr>
                <w:rFonts w:cs="Tahoma"/>
                <w:szCs w:val="20"/>
              </w:rPr>
              <w:t>Autodiagnostyka parametrów pracy analizatora</w:t>
            </w:r>
          </w:p>
        </w:tc>
        <w:tc>
          <w:tcPr>
            <w:tcW w:w="1881" w:type="dxa"/>
            <w:vAlign w:val="center"/>
          </w:tcPr>
          <w:p w14:paraId="76FF3850" w14:textId="63AAAF76"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26DE8CEE" w14:textId="77777777" w:rsidTr="000020EF">
        <w:tc>
          <w:tcPr>
            <w:tcW w:w="614" w:type="dxa"/>
          </w:tcPr>
          <w:p w14:paraId="29697B22" w14:textId="728676B8" w:rsidR="000020EF" w:rsidRPr="000020EF" w:rsidRDefault="000020EF" w:rsidP="000020EF">
            <w:pPr>
              <w:spacing w:after="0" w:line="240" w:lineRule="auto"/>
              <w:rPr>
                <w:rFonts w:cs="Tahoma"/>
                <w:szCs w:val="20"/>
              </w:rPr>
            </w:pPr>
            <w:r w:rsidRPr="000020EF">
              <w:rPr>
                <w:rFonts w:cs="Tahoma"/>
                <w:szCs w:val="20"/>
              </w:rPr>
              <w:t>12.</w:t>
            </w:r>
          </w:p>
        </w:tc>
        <w:tc>
          <w:tcPr>
            <w:tcW w:w="5658" w:type="dxa"/>
          </w:tcPr>
          <w:p w14:paraId="4EA58611" w14:textId="039E56D7" w:rsidR="000020EF" w:rsidRPr="000020EF" w:rsidRDefault="000020EF" w:rsidP="000020EF">
            <w:pPr>
              <w:spacing w:after="0" w:line="240" w:lineRule="auto"/>
              <w:rPr>
                <w:rFonts w:cs="Tahoma"/>
                <w:szCs w:val="20"/>
              </w:rPr>
            </w:pPr>
            <w:r w:rsidRPr="000020EF">
              <w:rPr>
                <w:rFonts w:cs="Tahoma"/>
                <w:szCs w:val="20"/>
              </w:rPr>
              <w:t>Automatyczne przejście w tryb oszczędnego zużycia tlenu po zakończeniu analizy</w:t>
            </w:r>
          </w:p>
        </w:tc>
        <w:tc>
          <w:tcPr>
            <w:tcW w:w="1881" w:type="dxa"/>
            <w:vAlign w:val="center"/>
          </w:tcPr>
          <w:p w14:paraId="3F15154A" w14:textId="261A2F31"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045BEF04" w14:textId="77777777" w:rsidTr="000020EF">
        <w:tc>
          <w:tcPr>
            <w:tcW w:w="614" w:type="dxa"/>
          </w:tcPr>
          <w:p w14:paraId="4271556F" w14:textId="3685CB2E" w:rsidR="000020EF" w:rsidRPr="000020EF" w:rsidRDefault="000020EF" w:rsidP="000020EF">
            <w:pPr>
              <w:spacing w:after="0" w:line="240" w:lineRule="auto"/>
              <w:rPr>
                <w:rFonts w:cs="Tahoma"/>
                <w:szCs w:val="20"/>
              </w:rPr>
            </w:pPr>
            <w:r w:rsidRPr="000020EF">
              <w:rPr>
                <w:rFonts w:cs="Tahoma"/>
                <w:szCs w:val="20"/>
              </w:rPr>
              <w:t>13.</w:t>
            </w:r>
          </w:p>
        </w:tc>
        <w:tc>
          <w:tcPr>
            <w:tcW w:w="5658" w:type="dxa"/>
          </w:tcPr>
          <w:p w14:paraId="10E763E9" w14:textId="38234803" w:rsidR="000020EF" w:rsidRPr="000020EF" w:rsidRDefault="000020EF" w:rsidP="000020EF">
            <w:pPr>
              <w:spacing w:after="0" w:line="240" w:lineRule="auto"/>
              <w:rPr>
                <w:rFonts w:cs="Tahoma"/>
                <w:szCs w:val="20"/>
              </w:rPr>
            </w:pPr>
            <w:r w:rsidRPr="000020EF">
              <w:rPr>
                <w:rFonts w:cs="Tahoma"/>
                <w:szCs w:val="20"/>
              </w:rPr>
              <w:t>Zakres pomiarowy: C = 0,002 mg do 60 mg (0,5% RSD), S = 0,002 – 4 mg (1,5% RSD)</w:t>
            </w:r>
          </w:p>
        </w:tc>
        <w:tc>
          <w:tcPr>
            <w:tcW w:w="1881" w:type="dxa"/>
            <w:vAlign w:val="center"/>
          </w:tcPr>
          <w:p w14:paraId="17F09A4B" w14:textId="55911ECD"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0A2FCD41" w14:textId="77777777" w:rsidTr="000020EF">
        <w:tc>
          <w:tcPr>
            <w:tcW w:w="614" w:type="dxa"/>
          </w:tcPr>
          <w:p w14:paraId="0B00B908" w14:textId="69568870" w:rsidR="000020EF" w:rsidRPr="000020EF" w:rsidRDefault="000020EF" w:rsidP="000020EF">
            <w:pPr>
              <w:spacing w:after="0" w:line="240" w:lineRule="auto"/>
              <w:rPr>
                <w:rFonts w:cs="Tahoma"/>
                <w:szCs w:val="20"/>
              </w:rPr>
            </w:pPr>
            <w:r w:rsidRPr="000020EF">
              <w:rPr>
                <w:rFonts w:cs="Tahoma"/>
                <w:szCs w:val="20"/>
              </w:rPr>
              <w:t>14.</w:t>
            </w:r>
          </w:p>
        </w:tc>
        <w:tc>
          <w:tcPr>
            <w:tcW w:w="5658" w:type="dxa"/>
          </w:tcPr>
          <w:p w14:paraId="35C7117E" w14:textId="54652F70" w:rsidR="000020EF" w:rsidRPr="000020EF" w:rsidRDefault="000020EF" w:rsidP="000020EF">
            <w:pPr>
              <w:spacing w:after="0" w:line="240" w:lineRule="auto"/>
              <w:rPr>
                <w:rFonts w:cs="Tahoma"/>
                <w:szCs w:val="20"/>
              </w:rPr>
            </w:pPr>
            <w:r w:rsidRPr="000020EF">
              <w:rPr>
                <w:rFonts w:cs="Tahoma"/>
                <w:szCs w:val="20"/>
              </w:rPr>
              <w:t>Analiza wykonywana przy użyciu ceramicznych łódeczek pomiarowych wielokrotnego użytku</w:t>
            </w:r>
          </w:p>
        </w:tc>
        <w:tc>
          <w:tcPr>
            <w:tcW w:w="1881" w:type="dxa"/>
            <w:vAlign w:val="center"/>
          </w:tcPr>
          <w:p w14:paraId="30F6E158" w14:textId="3B577A8F"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1C70EA0C" w14:textId="77777777" w:rsidTr="000020EF">
        <w:tc>
          <w:tcPr>
            <w:tcW w:w="614" w:type="dxa"/>
          </w:tcPr>
          <w:p w14:paraId="377C5F56" w14:textId="6CA273AF" w:rsidR="000020EF" w:rsidRPr="000020EF" w:rsidRDefault="000020EF" w:rsidP="000020EF">
            <w:pPr>
              <w:spacing w:after="0" w:line="240" w:lineRule="auto"/>
              <w:rPr>
                <w:rFonts w:cs="Tahoma"/>
                <w:szCs w:val="20"/>
              </w:rPr>
            </w:pPr>
            <w:r w:rsidRPr="000020EF">
              <w:rPr>
                <w:rFonts w:cs="Tahoma"/>
                <w:szCs w:val="20"/>
              </w:rPr>
              <w:t>15.</w:t>
            </w:r>
          </w:p>
        </w:tc>
        <w:tc>
          <w:tcPr>
            <w:tcW w:w="5658" w:type="dxa"/>
          </w:tcPr>
          <w:p w14:paraId="39623298" w14:textId="2A34CFF2" w:rsidR="000020EF" w:rsidRPr="000020EF" w:rsidRDefault="000020EF" w:rsidP="000020EF">
            <w:pPr>
              <w:spacing w:after="0" w:line="240" w:lineRule="auto"/>
              <w:rPr>
                <w:rFonts w:cs="Tahoma"/>
                <w:szCs w:val="20"/>
              </w:rPr>
            </w:pPr>
            <w:r w:rsidRPr="000020EF">
              <w:rPr>
                <w:rFonts w:cs="Tahoma"/>
                <w:szCs w:val="20"/>
              </w:rPr>
              <w:t>Możliwość zdalnej diagnostyki urządzenia</w:t>
            </w:r>
          </w:p>
        </w:tc>
        <w:tc>
          <w:tcPr>
            <w:tcW w:w="1881" w:type="dxa"/>
            <w:vAlign w:val="center"/>
          </w:tcPr>
          <w:p w14:paraId="073BCE95" w14:textId="2605A2DB"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2D602C70" w14:textId="77777777" w:rsidTr="000020EF">
        <w:tc>
          <w:tcPr>
            <w:tcW w:w="614" w:type="dxa"/>
          </w:tcPr>
          <w:p w14:paraId="68123E60" w14:textId="4FAA62C4" w:rsidR="000020EF" w:rsidRPr="000020EF" w:rsidRDefault="000020EF" w:rsidP="000020EF">
            <w:pPr>
              <w:spacing w:after="0" w:line="240" w:lineRule="auto"/>
              <w:rPr>
                <w:rFonts w:cs="Tahoma"/>
                <w:szCs w:val="20"/>
              </w:rPr>
            </w:pPr>
            <w:r w:rsidRPr="000020EF">
              <w:rPr>
                <w:rFonts w:cs="Tahoma"/>
                <w:szCs w:val="20"/>
              </w:rPr>
              <w:t>16.</w:t>
            </w:r>
          </w:p>
        </w:tc>
        <w:tc>
          <w:tcPr>
            <w:tcW w:w="5658" w:type="dxa"/>
          </w:tcPr>
          <w:p w14:paraId="1EEFCBB5" w14:textId="08AC0562" w:rsidR="000020EF" w:rsidRPr="000020EF" w:rsidRDefault="000020EF" w:rsidP="000020EF">
            <w:pPr>
              <w:spacing w:after="0" w:line="240" w:lineRule="auto"/>
              <w:rPr>
                <w:rFonts w:cs="Tahoma"/>
                <w:szCs w:val="20"/>
              </w:rPr>
            </w:pPr>
            <w:r w:rsidRPr="000020EF">
              <w:rPr>
                <w:rFonts w:cs="Tahoma"/>
                <w:szCs w:val="20"/>
              </w:rPr>
              <w:t>Oprogramowanie sterujące pracą analizatora w języku polskim</w:t>
            </w:r>
          </w:p>
        </w:tc>
        <w:tc>
          <w:tcPr>
            <w:tcW w:w="1881" w:type="dxa"/>
            <w:vAlign w:val="center"/>
          </w:tcPr>
          <w:p w14:paraId="7066A8A1" w14:textId="41457C68"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49D538C1" w14:textId="77777777" w:rsidTr="000020EF">
        <w:tc>
          <w:tcPr>
            <w:tcW w:w="614" w:type="dxa"/>
          </w:tcPr>
          <w:p w14:paraId="2BB8CB2C" w14:textId="31E54B37" w:rsidR="000020EF" w:rsidRPr="000020EF" w:rsidRDefault="000020EF" w:rsidP="000020EF">
            <w:pPr>
              <w:spacing w:after="0" w:line="240" w:lineRule="auto"/>
              <w:rPr>
                <w:rFonts w:cs="Tahoma"/>
                <w:szCs w:val="20"/>
              </w:rPr>
            </w:pPr>
            <w:r w:rsidRPr="000020EF">
              <w:rPr>
                <w:rFonts w:cs="Tahoma"/>
                <w:szCs w:val="20"/>
              </w:rPr>
              <w:t>17.</w:t>
            </w:r>
          </w:p>
        </w:tc>
        <w:tc>
          <w:tcPr>
            <w:tcW w:w="5658" w:type="dxa"/>
          </w:tcPr>
          <w:p w14:paraId="6B572D4D" w14:textId="44661EEC" w:rsidR="000020EF" w:rsidRPr="000020EF" w:rsidRDefault="000020EF" w:rsidP="000020EF">
            <w:pPr>
              <w:spacing w:after="0" w:line="240" w:lineRule="auto"/>
              <w:rPr>
                <w:rFonts w:cs="Tahoma"/>
                <w:szCs w:val="20"/>
              </w:rPr>
            </w:pPr>
            <w:r w:rsidRPr="000020EF">
              <w:rPr>
                <w:rFonts w:cs="Tahoma"/>
                <w:szCs w:val="20"/>
              </w:rPr>
              <w:t xml:space="preserve">Wymagania elektryczne 230V~, 50/60 </w:t>
            </w:r>
            <w:proofErr w:type="spellStart"/>
            <w:r w:rsidRPr="000020EF">
              <w:rPr>
                <w:rFonts w:cs="Tahoma"/>
                <w:szCs w:val="20"/>
              </w:rPr>
              <w:t>Hz</w:t>
            </w:r>
            <w:proofErr w:type="spellEnd"/>
          </w:p>
        </w:tc>
        <w:tc>
          <w:tcPr>
            <w:tcW w:w="1881" w:type="dxa"/>
            <w:vAlign w:val="center"/>
          </w:tcPr>
          <w:p w14:paraId="0A71C668" w14:textId="21C27B3F"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50040EFD" w14:textId="77777777" w:rsidTr="000020EF">
        <w:tc>
          <w:tcPr>
            <w:tcW w:w="614" w:type="dxa"/>
          </w:tcPr>
          <w:p w14:paraId="01B3C32F" w14:textId="7A3F8F25" w:rsidR="000020EF" w:rsidRPr="000020EF" w:rsidRDefault="000020EF" w:rsidP="000020EF">
            <w:pPr>
              <w:spacing w:after="0" w:line="240" w:lineRule="auto"/>
              <w:rPr>
                <w:rFonts w:cs="Tahoma"/>
                <w:szCs w:val="20"/>
              </w:rPr>
            </w:pPr>
            <w:r w:rsidRPr="000020EF">
              <w:rPr>
                <w:rFonts w:cs="Tahoma"/>
                <w:szCs w:val="20"/>
              </w:rPr>
              <w:t>18.</w:t>
            </w:r>
          </w:p>
        </w:tc>
        <w:tc>
          <w:tcPr>
            <w:tcW w:w="5658" w:type="dxa"/>
          </w:tcPr>
          <w:p w14:paraId="685393E6" w14:textId="3877114E" w:rsidR="000020EF" w:rsidRPr="000020EF" w:rsidRDefault="000020EF" w:rsidP="000020EF">
            <w:pPr>
              <w:spacing w:after="0" w:line="240" w:lineRule="auto"/>
              <w:rPr>
                <w:rFonts w:cs="Tahoma"/>
                <w:szCs w:val="20"/>
              </w:rPr>
            </w:pPr>
            <w:r w:rsidRPr="000020EF">
              <w:rPr>
                <w:rFonts w:cs="Tahoma"/>
                <w:szCs w:val="20"/>
              </w:rPr>
              <w:t>Możliwość szybkiej i samodzielnej wymiany części zużywalnych analizatora. Dostęp do filmów instruktażowych dla podstawowych czynności serwisowych.</w:t>
            </w:r>
          </w:p>
        </w:tc>
        <w:tc>
          <w:tcPr>
            <w:tcW w:w="1881" w:type="dxa"/>
            <w:vAlign w:val="center"/>
          </w:tcPr>
          <w:p w14:paraId="695DD6BD" w14:textId="3CFEF515"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2DE457D5" w14:textId="77777777" w:rsidTr="000020EF">
        <w:tc>
          <w:tcPr>
            <w:tcW w:w="614" w:type="dxa"/>
          </w:tcPr>
          <w:p w14:paraId="32D9F5E6" w14:textId="4855106A" w:rsidR="000020EF" w:rsidRPr="000020EF" w:rsidRDefault="000020EF" w:rsidP="000020EF">
            <w:pPr>
              <w:spacing w:after="0" w:line="240" w:lineRule="auto"/>
              <w:rPr>
                <w:rFonts w:cs="Tahoma"/>
                <w:szCs w:val="20"/>
              </w:rPr>
            </w:pPr>
            <w:r w:rsidRPr="000020EF">
              <w:rPr>
                <w:rFonts w:cs="Tahoma"/>
                <w:szCs w:val="20"/>
              </w:rPr>
              <w:t>19.</w:t>
            </w:r>
          </w:p>
        </w:tc>
        <w:tc>
          <w:tcPr>
            <w:tcW w:w="5658" w:type="dxa"/>
          </w:tcPr>
          <w:p w14:paraId="6EBB54F1" w14:textId="4F17D930" w:rsidR="000020EF" w:rsidRPr="000020EF" w:rsidRDefault="000020EF" w:rsidP="000020EF">
            <w:pPr>
              <w:spacing w:after="0" w:line="240" w:lineRule="auto"/>
              <w:rPr>
                <w:rFonts w:cs="Tahoma"/>
                <w:szCs w:val="20"/>
              </w:rPr>
            </w:pPr>
            <w:r w:rsidRPr="000020EF">
              <w:rPr>
                <w:rFonts w:cs="Tahoma"/>
                <w:szCs w:val="20"/>
              </w:rPr>
              <w:t xml:space="preserve">Sterowanie analizatorem poprzez ekran dotykowy oraz komputer klasy PC z Windows 10 (64bit) </w:t>
            </w:r>
            <w:r w:rsidR="00E70254">
              <w:rPr>
                <w:rFonts w:cs="Tahoma"/>
                <w:szCs w:val="20"/>
              </w:rPr>
              <w:t>lub równoważnym systemem</w:t>
            </w:r>
            <w:r w:rsidR="00E70254">
              <w:rPr>
                <w:rStyle w:val="Odwoanieprzypisudolnego"/>
                <w:rFonts w:cs="Tahoma"/>
                <w:szCs w:val="20"/>
              </w:rPr>
              <w:footnoteReference w:id="1"/>
            </w:r>
            <w:r w:rsidR="00E70254">
              <w:rPr>
                <w:rFonts w:cs="Tahoma"/>
                <w:szCs w:val="20"/>
              </w:rPr>
              <w:t xml:space="preserve"> </w:t>
            </w:r>
            <w:r w:rsidRPr="000020EF">
              <w:rPr>
                <w:rFonts w:cs="Tahoma"/>
                <w:szCs w:val="20"/>
              </w:rPr>
              <w:t>– dostarczon</w:t>
            </w:r>
            <w:r w:rsidR="00E70254">
              <w:rPr>
                <w:rFonts w:cs="Tahoma"/>
                <w:szCs w:val="20"/>
              </w:rPr>
              <w:t>y</w:t>
            </w:r>
            <w:r w:rsidRPr="000020EF">
              <w:rPr>
                <w:rFonts w:cs="Tahoma"/>
                <w:szCs w:val="20"/>
              </w:rPr>
              <w:t xml:space="preserve"> wraz z analizatorem</w:t>
            </w:r>
          </w:p>
        </w:tc>
        <w:tc>
          <w:tcPr>
            <w:tcW w:w="1881" w:type="dxa"/>
            <w:vAlign w:val="center"/>
          </w:tcPr>
          <w:p w14:paraId="23B690F9" w14:textId="1C0CEE43"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683E42DF" w14:textId="77777777" w:rsidTr="000020EF">
        <w:tc>
          <w:tcPr>
            <w:tcW w:w="614" w:type="dxa"/>
          </w:tcPr>
          <w:p w14:paraId="6C9FA18F" w14:textId="3EF8106B" w:rsidR="000020EF" w:rsidRPr="000020EF" w:rsidRDefault="000020EF" w:rsidP="000020EF">
            <w:pPr>
              <w:spacing w:after="0" w:line="240" w:lineRule="auto"/>
              <w:rPr>
                <w:rFonts w:cs="Tahoma"/>
                <w:szCs w:val="20"/>
              </w:rPr>
            </w:pPr>
            <w:r w:rsidRPr="000020EF">
              <w:rPr>
                <w:rFonts w:cs="Tahoma"/>
                <w:szCs w:val="20"/>
              </w:rPr>
              <w:t>20.</w:t>
            </w:r>
          </w:p>
        </w:tc>
        <w:tc>
          <w:tcPr>
            <w:tcW w:w="5658" w:type="dxa"/>
          </w:tcPr>
          <w:p w14:paraId="4305D5A6" w14:textId="392B98B2" w:rsidR="000020EF" w:rsidRPr="000020EF" w:rsidRDefault="000020EF" w:rsidP="000020EF">
            <w:pPr>
              <w:spacing w:after="0" w:line="240" w:lineRule="auto"/>
              <w:rPr>
                <w:rFonts w:cs="Tahoma"/>
                <w:szCs w:val="20"/>
                <w:highlight w:val="red"/>
              </w:rPr>
            </w:pPr>
            <w:r w:rsidRPr="000020EF">
              <w:rPr>
                <w:rFonts w:cs="Tahoma"/>
                <w:szCs w:val="20"/>
              </w:rPr>
              <w:t>Wzorce do kalibracji urządzenia</w:t>
            </w:r>
          </w:p>
        </w:tc>
        <w:tc>
          <w:tcPr>
            <w:tcW w:w="1881" w:type="dxa"/>
            <w:vAlign w:val="center"/>
          </w:tcPr>
          <w:p w14:paraId="51E20DF5" w14:textId="371D4CB1"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4DC56CC1" w14:textId="77777777" w:rsidTr="000020EF">
        <w:tc>
          <w:tcPr>
            <w:tcW w:w="614" w:type="dxa"/>
          </w:tcPr>
          <w:p w14:paraId="75A14019" w14:textId="079FB054" w:rsidR="000020EF" w:rsidRPr="000020EF" w:rsidRDefault="000020EF" w:rsidP="000020EF">
            <w:pPr>
              <w:spacing w:after="0" w:line="240" w:lineRule="auto"/>
              <w:rPr>
                <w:rFonts w:cs="Tahoma"/>
                <w:szCs w:val="20"/>
              </w:rPr>
            </w:pPr>
            <w:r w:rsidRPr="000020EF">
              <w:rPr>
                <w:rFonts w:cs="Tahoma"/>
                <w:szCs w:val="20"/>
              </w:rPr>
              <w:t>21.</w:t>
            </w:r>
          </w:p>
        </w:tc>
        <w:tc>
          <w:tcPr>
            <w:tcW w:w="5658" w:type="dxa"/>
          </w:tcPr>
          <w:p w14:paraId="4624E37C" w14:textId="0D72876E" w:rsidR="000020EF" w:rsidRPr="000020EF" w:rsidRDefault="000020EF" w:rsidP="000020EF">
            <w:pPr>
              <w:spacing w:after="0" w:line="240" w:lineRule="auto"/>
              <w:rPr>
                <w:rFonts w:cs="Tahoma"/>
                <w:szCs w:val="20"/>
                <w:highlight w:val="red"/>
              </w:rPr>
            </w:pPr>
            <w:r w:rsidRPr="000020EF">
              <w:rPr>
                <w:rFonts w:cs="Tahoma"/>
                <w:szCs w:val="20"/>
              </w:rPr>
              <w:t>Waga analityczna do ważenia próbek</w:t>
            </w:r>
          </w:p>
        </w:tc>
        <w:tc>
          <w:tcPr>
            <w:tcW w:w="1881" w:type="dxa"/>
            <w:vAlign w:val="center"/>
          </w:tcPr>
          <w:p w14:paraId="1037F52D" w14:textId="7A13FFA9"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1DA38155" w14:textId="77777777" w:rsidTr="000020EF">
        <w:tc>
          <w:tcPr>
            <w:tcW w:w="614" w:type="dxa"/>
          </w:tcPr>
          <w:p w14:paraId="5A4995BB" w14:textId="37D3673B" w:rsidR="000020EF" w:rsidRPr="000020EF" w:rsidRDefault="000020EF" w:rsidP="000020EF">
            <w:pPr>
              <w:spacing w:after="0" w:line="240" w:lineRule="auto"/>
              <w:rPr>
                <w:rFonts w:cs="Tahoma"/>
                <w:szCs w:val="20"/>
              </w:rPr>
            </w:pPr>
            <w:r w:rsidRPr="000020EF">
              <w:rPr>
                <w:rFonts w:cs="Tahoma"/>
                <w:szCs w:val="20"/>
              </w:rPr>
              <w:t>22.</w:t>
            </w:r>
          </w:p>
        </w:tc>
        <w:tc>
          <w:tcPr>
            <w:tcW w:w="5658" w:type="dxa"/>
          </w:tcPr>
          <w:p w14:paraId="54021347" w14:textId="7A5CE576" w:rsidR="000020EF" w:rsidRPr="000020EF" w:rsidRDefault="000020EF" w:rsidP="000020EF">
            <w:pPr>
              <w:spacing w:after="0" w:line="240" w:lineRule="auto"/>
              <w:rPr>
                <w:rFonts w:cs="Tahoma"/>
                <w:szCs w:val="20"/>
                <w:highlight w:val="red"/>
              </w:rPr>
            </w:pPr>
            <w:r w:rsidRPr="000020EF">
              <w:rPr>
                <w:rFonts w:cs="Tahoma"/>
                <w:szCs w:val="20"/>
              </w:rPr>
              <w:t>Dwustopniowe Reduktory butlowe do podłączenia gazów</w:t>
            </w:r>
          </w:p>
        </w:tc>
        <w:tc>
          <w:tcPr>
            <w:tcW w:w="1881" w:type="dxa"/>
            <w:vAlign w:val="center"/>
          </w:tcPr>
          <w:p w14:paraId="6EAA7DA8" w14:textId="6C43DCAB"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11AD8A35" w14:textId="77777777" w:rsidTr="000020EF">
        <w:tc>
          <w:tcPr>
            <w:tcW w:w="614" w:type="dxa"/>
          </w:tcPr>
          <w:p w14:paraId="004CB70B" w14:textId="6C8D2C5B" w:rsidR="000020EF" w:rsidRPr="000020EF" w:rsidRDefault="000020EF" w:rsidP="000020EF">
            <w:pPr>
              <w:spacing w:after="0" w:line="240" w:lineRule="auto"/>
              <w:rPr>
                <w:rFonts w:cs="Tahoma"/>
                <w:szCs w:val="20"/>
              </w:rPr>
            </w:pPr>
            <w:r w:rsidRPr="000020EF">
              <w:rPr>
                <w:rFonts w:cs="Tahoma"/>
                <w:szCs w:val="20"/>
              </w:rPr>
              <w:t>23.</w:t>
            </w:r>
          </w:p>
        </w:tc>
        <w:tc>
          <w:tcPr>
            <w:tcW w:w="5658" w:type="dxa"/>
          </w:tcPr>
          <w:p w14:paraId="1A16DC0B" w14:textId="6549D765" w:rsidR="000020EF" w:rsidRPr="000020EF" w:rsidRDefault="00310E02" w:rsidP="000020EF">
            <w:pPr>
              <w:spacing w:after="0" w:line="240" w:lineRule="auto"/>
              <w:rPr>
                <w:rFonts w:cs="Tahoma"/>
                <w:szCs w:val="20"/>
              </w:rPr>
            </w:pPr>
            <w:r w:rsidRPr="000020EF">
              <w:rPr>
                <w:rFonts w:cs="Tahoma"/>
                <w:szCs w:val="20"/>
              </w:rPr>
              <w:t>I</w:t>
            </w:r>
            <w:r>
              <w:rPr>
                <w:rFonts w:cs="Tahoma"/>
                <w:szCs w:val="20"/>
              </w:rPr>
              <w:t>nstalacja</w:t>
            </w:r>
            <w:r w:rsidRPr="000020EF">
              <w:rPr>
                <w:rFonts w:cs="Tahoma"/>
                <w:szCs w:val="20"/>
              </w:rPr>
              <w:t xml:space="preserve"> </w:t>
            </w:r>
            <w:r w:rsidR="000020EF" w:rsidRPr="000020EF">
              <w:rPr>
                <w:rFonts w:cs="Tahoma"/>
                <w:szCs w:val="20"/>
              </w:rPr>
              <w:t>zakończona testem akceptacyjnym wykonania analizy 4 próbek przygotowanych przez Zamawiającego</w:t>
            </w:r>
          </w:p>
        </w:tc>
        <w:tc>
          <w:tcPr>
            <w:tcW w:w="1881" w:type="dxa"/>
            <w:vAlign w:val="center"/>
          </w:tcPr>
          <w:p w14:paraId="7A044A91" w14:textId="02758A14"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7E8E3151" w14:textId="77777777" w:rsidTr="000020EF">
        <w:tc>
          <w:tcPr>
            <w:tcW w:w="614" w:type="dxa"/>
          </w:tcPr>
          <w:p w14:paraId="02FC19C3" w14:textId="2ECE3029" w:rsidR="000020EF" w:rsidRPr="000020EF" w:rsidRDefault="000020EF" w:rsidP="000020EF">
            <w:pPr>
              <w:spacing w:after="0" w:line="240" w:lineRule="auto"/>
              <w:rPr>
                <w:rFonts w:cs="Tahoma"/>
                <w:szCs w:val="20"/>
              </w:rPr>
            </w:pPr>
            <w:r w:rsidRPr="000020EF">
              <w:rPr>
                <w:rFonts w:cs="Tahoma"/>
                <w:szCs w:val="20"/>
              </w:rPr>
              <w:t>24.</w:t>
            </w:r>
          </w:p>
        </w:tc>
        <w:tc>
          <w:tcPr>
            <w:tcW w:w="5658" w:type="dxa"/>
          </w:tcPr>
          <w:p w14:paraId="1C75042A" w14:textId="28D83D54" w:rsidR="000020EF" w:rsidRPr="000020EF" w:rsidRDefault="000020EF" w:rsidP="000020EF">
            <w:pPr>
              <w:spacing w:after="0" w:line="240" w:lineRule="auto"/>
              <w:rPr>
                <w:rFonts w:cs="Tahoma"/>
                <w:szCs w:val="20"/>
              </w:rPr>
            </w:pPr>
            <w:r w:rsidRPr="000020EF">
              <w:rPr>
                <w:rFonts w:cs="Tahoma"/>
                <w:szCs w:val="20"/>
              </w:rPr>
              <w:t>System dostarczony razem z zestawem materiałów eksploatacyjnych potrzebnych do wykonania 1000 analiz</w:t>
            </w:r>
          </w:p>
        </w:tc>
        <w:tc>
          <w:tcPr>
            <w:tcW w:w="1881" w:type="dxa"/>
            <w:vAlign w:val="center"/>
          </w:tcPr>
          <w:p w14:paraId="502D8D2F" w14:textId="723EE1C7" w:rsidR="000020EF" w:rsidRPr="000020EF" w:rsidRDefault="000020EF" w:rsidP="000020EF">
            <w:pPr>
              <w:spacing w:after="0" w:line="240" w:lineRule="auto"/>
              <w:ind w:left="360"/>
              <w:rPr>
                <w:rFonts w:cs="Tahoma"/>
                <w:szCs w:val="20"/>
              </w:rPr>
            </w:pPr>
            <w:r w:rsidRPr="000020EF">
              <w:rPr>
                <w:szCs w:val="20"/>
              </w:rPr>
              <w:t>TAK/NIE</w:t>
            </w:r>
          </w:p>
        </w:tc>
      </w:tr>
      <w:tr w:rsidR="000020EF" w:rsidRPr="000020EF" w14:paraId="03A87637" w14:textId="77777777" w:rsidTr="000020EF">
        <w:tc>
          <w:tcPr>
            <w:tcW w:w="614" w:type="dxa"/>
          </w:tcPr>
          <w:p w14:paraId="02D6DACD" w14:textId="085C9EE9" w:rsidR="000020EF" w:rsidRPr="000020EF" w:rsidRDefault="000020EF" w:rsidP="000020EF">
            <w:pPr>
              <w:spacing w:after="0" w:line="240" w:lineRule="auto"/>
              <w:rPr>
                <w:rFonts w:cs="Tahoma"/>
                <w:szCs w:val="20"/>
              </w:rPr>
            </w:pPr>
            <w:r w:rsidRPr="000020EF">
              <w:rPr>
                <w:rFonts w:cs="Tahoma"/>
                <w:szCs w:val="20"/>
              </w:rPr>
              <w:t>25.</w:t>
            </w:r>
          </w:p>
        </w:tc>
        <w:tc>
          <w:tcPr>
            <w:tcW w:w="5658" w:type="dxa"/>
          </w:tcPr>
          <w:p w14:paraId="0794A25F" w14:textId="4FD61843" w:rsidR="000020EF" w:rsidRPr="000020EF" w:rsidRDefault="000020EF" w:rsidP="000020EF">
            <w:pPr>
              <w:spacing w:after="0" w:line="240" w:lineRule="auto"/>
              <w:rPr>
                <w:rFonts w:cs="Tahoma"/>
                <w:szCs w:val="20"/>
              </w:rPr>
            </w:pPr>
            <w:r w:rsidRPr="000020EF">
              <w:rPr>
                <w:rFonts w:cs="Tahoma"/>
                <w:szCs w:val="20"/>
              </w:rPr>
              <w:t>Sprzęt fabrycznie nowy</w:t>
            </w:r>
          </w:p>
        </w:tc>
        <w:tc>
          <w:tcPr>
            <w:tcW w:w="1881" w:type="dxa"/>
            <w:vAlign w:val="center"/>
          </w:tcPr>
          <w:p w14:paraId="6C25DD52" w14:textId="71687831" w:rsidR="000020EF" w:rsidRPr="000020EF" w:rsidRDefault="000020EF" w:rsidP="000020EF">
            <w:pPr>
              <w:spacing w:after="0" w:line="240" w:lineRule="auto"/>
              <w:ind w:left="360"/>
              <w:rPr>
                <w:rFonts w:cs="Tahoma"/>
                <w:szCs w:val="20"/>
              </w:rPr>
            </w:pPr>
            <w:r w:rsidRPr="000020EF">
              <w:rPr>
                <w:szCs w:val="20"/>
              </w:rPr>
              <w:t>TAK/NIE</w:t>
            </w:r>
          </w:p>
        </w:tc>
      </w:tr>
      <w:tr w:rsidR="00EE702E" w:rsidRPr="000020EF" w14:paraId="6C77FA92" w14:textId="77777777" w:rsidTr="000020EF">
        <w:tc>
          <w:tcPr>
            <w:tcW w:w="614" w:type="dxa"/>
          </w:tcPr>
          <w:p w14:paraId="6D888448" w14:textId="5E3041F4" w:rsidR="00EE702E" w:rsidRPr="000020EF" w:rsidRDefault="00EE702E" w:rsidP="00EE702E">
            <w:pPr>
              <w:spacing w:after="0" w:line="240" w:lineRule="auto"/>
              <w:rPr>
                <w:rFonts w:cs="Tahoma"/>
                <w:szCs w:val="20"/>
              </w:rPr>
            </w:pPr>
            <w:r w:rsidRPr="000020EF">
              <w:rPr>
                <w:rFonts w:cs="Tahoma"/>
                <w:szCs w:val="20"/>
              </w:rPr>
              <w:lastRenderedPageBreak/>
              <w:t>26.</w:t>
            </w:r>
          </w:p>
        </w:tc>
        <w:tc>
          <w:tcPr>
            <w:tcW w:w="5658" w:type="dxa"/>
          </w:tcPr>
          <w:p w14:paraId="2947A483" w14:textId="251D4DDC" w:rsidR="00EE702E" w:rsidRPr="00AC1006" w:rsidRDefault="00EE702E" w:rsidP="00EE702E">
            <w:pPr>
              <w:spacing w:after="0" w:line="240" w:lineRule="auto"/>
              <w:rPr>
                <w:rFonts w:asciiTheme="majorHAnsi" w:hAnsiTheme="majorHAnsi" w:cs="Tahoma"/>
                <w:szCs w:val="20"/>
              </w:rPr>
            </w:pPr>
            <w:r w:rsidRPr="00AC1006">
              <w:rPr>
                <w:rFonts w:asciiTheme="majorHAnsi" w:hAnsiTheme="majorHAnsi" w:cs="Tahoma"/>
                <w:szCs w:val="20"/>
              </w:rPr>
              <w:t>Dostarczony sprzęt musi posiadać komplet przewodów i zasilaczy potrzebnych do uruchomienia urządzenia</w:t>
            </w:r>
          </w:p>
        </w:tc>
        <w:tc>
          <w:tcPr>
            <w:tcW w:w="1881" w:type="dxa"/>
            <w:vAlign w:val="center"/>
          </w:tcPr>
          <w:p w14:paraId="3C7EEDDD" w14:textId="4FD7EC1B" w:rsidR="00EE702E" w:rsidRPr="000020EF" w:rsidRDefault="00EE702E" w:rsidP="00EE702E">
            <w:pPr>
              <w:spacing w:after="0" w:line="240" w:lineRule="auto"/>
              <w:ind w:left="360"/>
              <w:rPr>
                <w:rFonts w:cs="Tahoma"/>
                <w:szCs w:val="20"/>
              </w:rPr>
            </w:pPr>
            <w:r w:rsidRPr="000020EF">
              <w:rPr>
                <w:szCs w:val="20"/>
              </w:rPr>
              <w:t>TAK/NIE</w:t>
            </w:r>
          </w:p>
        </w:tc>
      </w:tr>
      <w:tr w:rsidR="00EE702E" w:rsidRPr="000020EF" w14:paraId="4F8CB748" w14:textId="77777777" w:rsidTr="000020EF">
        <w:tc>
          <w:tcPr>
            <w:tcW w:w="614" w:type="dxa"/>
          </w:tcPr>
          <w:p w14:paraId="0A6A1201" w14:textId="654FC41C" w:rsidR="00EE702E" w:rsidRPr="000020EF" w:rsidRDefault="00EE702E" w:rsidP="00EE702E">
            <w:pPr>
              <w:spacing w:after="0" w:line="240" w:lineRule="auto"/>
              <w:rPr>
                <w:rFonts w:cs="Tahoma"/>
                <w:szCs w:val="20"/>
              </w:rPr>
            </w:pPr>
            <w:r w:rsidRPr="000020EF">
              <w:rPr>
                <w:rFonts w:cs="Tahoma"/>
                <w:szCs w:val="20"/>
              </w:rPr>
              <w:t>27.</w:t>
            </w:r>
          </w:p>
        </w:tc>
        <w:tc>
          <w:tcPr>
            <w:tcW w:w="5658" w:type="dxa"/>
          </w:tcPr>
          <w:p w14:paraId="22416F15" w14:textId="16CC2E5F" w:rsidR="00EE702E" w:rsidRPr="000020EF" w:rsidRDefault="00EE702E" w:rsidP="00EE702E">
            <w:pPr>
              <w:spacing w:after="0" w:line="240" w:lineRule="auto"/>
              <w:rPr>
                <w:rFonts w:cs="Tahoma"/>
                <w:szCs w:val="20"/>
              </w:rPr>
            </w:pPr>
            <w:r w:rsidRPr="000020EF">
              <w:rPr>
                <w:rFonts w:cs="Tahoma"/>
                <w:szCs w:val="20"/>
              </w:rPr>
              <w:t>Serwis gwarancyjny i pogwarancyjny na terenie Unii Europejskiej</w:t>
            </w:r>
          </w:p>
        </w:tc>
        <w:tc>
          <w:tcPr>
            <w:tcW w:w="1881" w:type="dxa"/>
            <w:vAlign w:val="center"/>
          </w:tcPr>
          <w:p w14:paraId="434F2D61" w14:textId="2989AED6" w:rsidR="00EE702E" w:rsidRPr="000020EF" w:rsidRDefault="00EE702E" w:rsidP="00EE702E">
            <w:pPr>
              <w:spacing w:after="0" w:line="240" w:lineRule="auto"/>
              <w:ind w:left="360"/>
              <w:rPr>
                <w:rFonts w:cs="Tahoma"/>
                <w:szCs w:val="20"/>
              </w:rPr>
            </w:pPr>
            <w:r w:rsidRPr="000020EF">
              <w:rPr>
                <w:szCs w:val="20"/>
              </w:rPr>
              <w:t>TAK/NIE</w:t>
            </w:r>
          </w:p>
        </w:tc>
      </w:tr>
      <w:tr w:rsidR="00EE702E" w:rsidRPr="000020EF" w14:paraId="567A462E" w14:textId="77777777" w:rsidTr="000020EF">
        <w:tc>
          <w:tcPr>
            <w:tcW w:w="614" w:type="dxa"/>
          </w:tcPr>
          <w:p w14:paraId="7B880186" w14:textId="28F8C41A" w:rsidR="00EE702E" w:rsidRPr="000020EF" w:rsidRDefault="00EE702E" w:rsidP="00EE702E">
            <w:pPr>
              <w:spacing w:after="0" w:line="240" w:lineRule="auto"/>
              <w:rPr>
                <w:rFonts w:cs="Tahoma"/>
                <w:szCs w:val="20"/>
              </w:rPr>
            </w:pPr>
            <w:r w:rsidRPr="000020EF">
              <w:rPr>
                <w:rFonts w:cs="Tahoma"/>
                <w:szCs w:val="20"/>
              </w:rPr>
              <w:t>28.</w:t>
            </w:r>
          </w:p>
        </w:tc>
        <w:tc>
          <w:tcPr>
            <w:tcW w:w="5658" w:type="dxa"/>
          </w:tcPr>
          <w:p w14:paraId="2BAF637F" w14:textId="50ACCE10" w:rsidR="00EE702E" w:rsidRPr="000020EF" w:rsidRDefault="00EE702E" w:rsidP="00EE702E">
            <w:pPr>
              <w:spacing w:after="0" w:line="240" w:lineRule="auto"/>
              <w:rPr>
                <w:rFonts w:cs="Tahoma"/>
                <w:szCs w:val="20"/>
              </w:rPr>
            </w:pPr>
            <w:r w:rsidRPr="000020EF">
              <w:rPr>
                <w:rFonts w:cs="Tahoma"/>
                <w:szCs w:val="20"/>
              </w:rPr>
              <w:t>Co najmniej dwudniowy instruktarz stanowiskowy i szkolenie personelu. 1</w:t>
            </w:r>
            <w:r>
              <w:rPr>
                <w:rFonts w:cs="Tahoma"/>
                <w:szCs w:val="20"/>
              </w:rPr>
              <w:t xml:space="preserve"> szkolenie - </w:t>
            </w:r>
            <w:r w:rsidRPr="000020EF">
              <w:rPr>
                <w:rFonts w:cs="Tahoma"/>
                <w:szCs w:val="20"/>
              </w:rPr>
              <w:t>dzie</w:t>
            </w:r>
            <w:r>
              <w:rPr>
                <w:rFonts w:cs="Tahoma"/>
                <w:szCs w:val="20"/>
              </w:rPr>
              <w:t>ń</w:t>
            </w:r>
            <w:r w:rsidRPr="000020EF">
              <w:rPr>
                <w:rFonts w:cs="Tahoma"/>
                <w:szCs w:val="20"/>
              </w:rPr>
              <w:t xml:space="preserve"> po instalacji, 2</w:t>
            </w:r>
            <w:r>
              <w:rPr>
                <w:rFonts w:cs="Tahoma"/>
                <w:szCs w:val="20"/>
              </w:rPr>
              <w:t xml:space="preserve"> (drugie)</w:t>
            </w:r>
            <w:r w:rsidRPr="000020EF">
              <w:rPr>
                <w:rFonts w:cs="Tahoma"/>
                <w:szCs w:val="20"/>
              </w:rPr>
              <w:t xml:space="preserve"> – szkolenie doszkalające po 3 miesiącach od instalacji</w:t>
            </w:r>
          </w:p>
        </w:tc>
        <w:tc>
          <w:tcPr>
            <w:tcW w:w="1881" w:type="dxa"/>
            <w:vAlign w:val="center"/>
          </w:tcPr>
          <w:p w14:paraId="0288D5AF" w14:textId="22051838" w:rsidR="00EE702E" w:rsidRPr="000020EF" w:rsidRDefault="00EE702E" w:rsidP="00EE702E">
            <w:pPr>
              <w:spacing w:after="0" w:line="240" w:lineRule="auto"/>
              <w:ind w:left="360"/>
              <w:rPr>
                <w:rFonts w:cs="Tahoma"/>
                <w:szCs w:val="20"/>
              </w:rPr>
            </w:pPr>
            <w:r w:rsidRPr="000020EF">
              <w:rPr>
                <w:szCs w:val="20"/>
              </w:rPr>
              <w:t>TAK/NIE</w:t>
            </w:r>
          </w:p>
        </w:tc>
      </w:tr>
      <w:tr w:rsidR="00EE702E" w:rsidRPr="000020EF" w14:paraId="5F330BE5" w14:textId="77777777" w:rsidTr="000020EF">
        <w:tc>
          <w:tcPr>
            <w:tcW w:w="614" w:type="dxa"/>
          </w:tcPr>
          <w:p w14:paraId="052BB004" w14:textId="7865790A" w:rsidR="00EE702E" w:rsidRPr="000020EF" w:rsidRDefault="00EE702E" w:rsidP="00EE702E">
            <w:pPr>
              <w:spacing w:after="0" w:line="240" w:lineRule="auto"/>
              <w:rPr>
                <w:rFonts w:cs="Tahoma"/>
                <w:szCs w:val="20"/>
              </w:rPr>
            </w:pPr>
            <w:r w:rsidRPr="000020EF">
              <w:rPr>
                <w:rFonts w:cs="Tahoma"/>
                <w:szCs w:val="20"/>
              </w:rPr>
              <w:t>29.</w:t>
            </w:r>
          </w:p>
        </w:tc>
        <w:tc>
          <w:tcPr>
            <w:tcW w:w="5658" w:type="dxa"/>
          </w:tcPr>
          <w:p w14:paraId="780C4684" w14:textId="516B923A" w:rsidR="00EE702E" w:rsidRPr="000020EF" w:rsidRDefault="00EE702E" w:rsidP="00EE702E">
            <w:pPr>
              <w:spacing w:after="0" w:line="240" w:lineRule="auto"/>
              <w:rPr>
                <w:rFonts w:cs="Tahoma"/>
                <w:szCs w:val="20"/>
              </w:rPr>
            </w:pPr>
            <w:r w:rsidRPr="000020EF">
              <w:rPr>
                <w:rFonts w:cs="Tahoma"/>
                <w:szCs w:val="20"/>
              </w:rPr>
              <w:t>Gwarancja: 24 miesi</w:t>
            </w:r>
            <w:r>
              <w:rPr>
                <w:rFonts w:cs="Tahoma"/>
                <w:szCs w:val="20"/>
              </w:rPr>
              <w:t>ące</w:t>
            </w:r>
          </w:p>
        </w:tc>
        <w:tc>
          <w:tcPr>
            <w:tcW w:w="1881" w:type="dxa"/>
            <w:vAlign w:val="center"/>
          </w:tcPr>
          <w:p w14:paraId="09FA3795" w14:textId="387ED2F8" w:rsidR="00EE702E" w:rsidRPr="000020EF" w:rsidRDefault="00EE702E" w:rsidP="00EE702E">
            <w:pPr>
              <w:spacing w:after="0" w:line="240" w:lineRule="auto"/>
              <w:ind w:left="360"/>
              <w:rPr>
                <w:rFonts w:cs="Tahoma"/>
                <w:szCs w:val="20"/>
              </w:rPr>
            </w:pPr>
            <w:r w:rsidRPr="000020EF">
              <w:rPr>
                <w:szCs w:val="20"/>
              </w:rPr>
              <w:t>TAK/NIE</w:t>
            </w:r>
          </w:p>
        </w:tc>
      </w:tr>
      <w:tr w:rsidR="00EE702E" w:rsidRPr="000020EF" w14:paraId="609899A4" w14:textId="77777777" w:rsidTr="000020EF">
        <w:tc>
          <w:tcPr>
            <w:tcW w:w="614" w:type="dxa"/>
          </w:tcPr>
          <w:p w14:paraId="451BABDD" w14:textId="02F98219" w:rsidR="00EE702E" w:rsidRPr="000020EF" w:rsidRDefault="00EE702E" w:rsidP="00EE702E">
            <w:pPr>
              <w:spacing w:after="0" w:line="240" w:lineRule="auto"/>
              <w:rPr>
                <w:rFonts w:cs="Tahoma"/>
                <w:szCs w:val="20"/>
              </w:rPr>
            </w:pPr>
            <w:r w:rsidRPr="000020EF">
              <w:rPr>
                <w:rFonts w:cs="Tahoma"/>
                <w:szCs w:val="20"/>
              </w:rPr>
              <w:t>30.</w:t>
            </w:r>
          </w:p>
        </w:tc>
        <w:tc>
          <w:tcPr>
            <w:tcW w:w="5658" w:type="dxa"/>
            <w:vAlign w:val="center"/>
          </w:tcPr>
          <w:p w14:paraId="519D1ACB" w14:textId="011F02B7" w:rsidR="00EE702E" w:rsidRPr="000020EF" w:rsidRDefault="00EE702E" w:rsidP="00EE702E">
            <w:pPr>
              <w:spacing w:after="0" w:line="240" w:lineRule="auto"/>
              <w:rPr>
                <w:rFonts w:cs="Tahoma"/>
                <w:szCs w:val="20"/>
              </w:rPr>
            </w:pPr>
            <w:r w:rsidRPr="000020EF">
              <w:rPr>
                <w:rFonts w:cs="Tahoma"/>
                <w:szCs w:val="20"/>
              </w:rPr>
              <w:t>Czas dostawy najpóźniej do 15.12.2021</w:t>
            </w:r>
            <w:r>
              <w:rPr>
                <w:rFonts w:cs="Tahoma"/>
                <w:szCs w:val="20"/>
              </w:rPr>
              <w:t xml:space="preserve"> r.</w:t>
            </w:r>
          </w:p>
        </w:tc>
        <w:tc>
          <w:tcPr>
            <w:tcW w:w="1881" w:type="dxa"/>
            <w:vAlign w:val="center"/>
          </w:tcPr>
          <w:p w14:paraId="1319D1F7" w14:textId="74703787" w:rsidR="00EE702E" w:rsidRPr="000020EF" w:rsidRDefault="00EE702E" w:rsidP="00EE702E">
            <w:pPr>
              <w:spacing w:after="0" w:line="240" w:lineRule="auto"/>
              <w:ind w:left="360"/>
              <w:rPr>
                <w:rFonts w:cs="Tahoma"/>
                <w:szCs w:val="20"/>
              </w:rPr>
            </w:pPr>
            <w:r w:rsidRPr="000020EF">
              <w:rPr>
                <w:szCs w:val="20"/>
              </w:rPr>
              <w:t>TAK/NIE</w:t>
            </w:r>
          </w:p>
        </w:tc>
      </w:tr>
      <w:tr w:rsidR="00E70254" w:rsidRPr="000020EF" w14:paraId="2102E8E2" w14:textId="77777777" w:rsidTr="00DF525C">
        <w:tc>
          <w:tcPr>
            <w:tcW w:w="614" w:type="dxa"/>
          </w:tcPr>
          <w:p w14:paraId="4A7A9752" w14:textId="5ABF48CE" w:rsidR="00E70254" w:rsidRPr="000020EF" w:rsidRDefault="00E70254" w:rsidP="00EE702E">
            <w:pPr>
              <w:spacing w:after="0" w:line="240" w:lineRule="auto"/>
              <w:rPr>
                <w:rFonts w:cs="Tahoma"/>
                <w:szCs w:val="20"/>
              </w:rPr>
            </w:pPr>
            <w:r>
              <w:rPr>
                <w:rFonts w:cs="Tahoma"/>
                <w:szCs w:val="20"/>
              </w:rPr>
              <w:t>31.</w:t>
            </w:r>
          </w:p>
        </w:tc>
        <w:tc>
          <w:tcPr>
            <w:tcW w:w="7539" w:type="dxa"/>
            <w:gridSpan w:val="2"/>
            <w:vAlign w:val="center"/>
          </w:tcPr>
          <w:p w14:paraId="7345FC10" w14:textId="77777777" w:rsidR="00E70254" w:rsidRPr="00C87A67" w:rsidRDefault="00E70254" w:rsidP="00E70254">
            <w:pPr>
              <w:spacing w:after="0" w:line="240" w:lineRule="auto"/>
              <w:rPr>
                <w:rFonts w:cs="Tahoma"/>
                <w:szCs w:val="20"/>
              </w:rPr>
            </w:pPr>
            <w:r w:rsidRPr="00C87A67">
              <w:rPr>
                <w:rFonts w:cs="Tahoma"/>
                <w:b/>
                <w:bCs/>
                <w:szCs w:val="20"/>
              </w:rPr>
              <w:t xml:space="preserve">Oferuję urządzenie </w:t>
            </w:r>
            <w:r w:rsidRPr="00C87A67">
              <w:rPr>
                <w:rFonts w:cs="Tahoma"/>
                <w:szCs w:val="20"/>
              </w:rPr>
              <w:t>(</w:t>
            </w:r>
            <w:r w:rsidRPr="00C87A67">
              <w:rPr>
                <w:rFonts w:cs="Tahoma"/>
                <w:i/>
                <w:szCs w:val="20"/>
              </w:rPr>
              <w:t>wypełnia Wykonawca)</w:t>
            </w:r>
          </w:p>
          <w:p w14:paraId="5EE3DDA2" w14:textId="77777777" w:rsidR="00E70254" w:rsidRPr="00C87A67" w:rsidRDefault="00E70254" w:rsidP="00E70254">
            <w:pPr>
              <w:spacing w:after="0" w:line="240" w:lineRule="auto"/>
              <w:rPr>
                <w:rFonts w:cs="Tahoma"/>
                <w:szCs w:val="20"/>
              </w:rPr>
            </w:pPr>
            <w:r w:rsidRPr="00C87A67">
              <w:rPr>
                <w:rFonts w:cs="Tahoma"/>
                <w:szCs w:val="20"/>
              </w:rPr>
              <w:t>Nazwa: ……………………………………………………………….</w:t>
            </w:r>
          </w:p>
          <w:p w14:paraId="66BA7860" w14:textId="77777777" w:rsidR="00E70254" w:rsidRPr="00C87A67" w:rsidRDefault="00E70254" w:rsidP="00E70254">
            <w:pPr>
              <w:spacing w:after="0" w:line="240" w:lineRule="auto"/>
              <w:rPr>
                <w:rFonts w:cs="Tahoma"/>
                <w:szCs w:val="20"/>
              </w:rPr>
            </w:pPr>
            <w:r w:rsidRPr="00C87A67">
              <w:rPr>
                <w:rFonts w:cs="Tahoma"/>
                <w:szCs w:val="20"/>
              </w:rPr>
              <w:t>Producent: ………………………………………………………..</w:t>
            </w:r>
          </w:p>
          <w:p w14:paraId="1AA8E3A1" w14:textId="77777777" w:rsidR="00E70254" w:rsidRPr="00C87A67" w:rsidRDefault="00E70254" w:rsidP="00E70254">
            <w:pPr>
              <w:spacing w:after="0" w:line="240" w:lineRule="auto"/>
              <w:rPr>
                <w:rFonts w:cs="Tahoma"/>
                <w:szCs w:val="20"/>
              </w:rPr>
            </w:pPr>
            <w:r w:rsidRPr="00C87A67">
              <w:rPr>
                <w:rFonts w:cs="Tahoma"/>
                <w:szCs w:val="20"/>
              </w:rPr>
              <w:t>Model /typ: ………………………………………………………….</w:t>
            </w:r>
          </w:p>
          <w:p w14:paraId="542B6D0A" w14:textId="77777777" w:rsidR="00E70254" w:rsidRPr="000020EF" w:rsidRDefault="00E70254" w:rsidP="00EE702E">
            <w:pPr>
              <w:spacing w:after="0" w:line="240" w:lineRule="auto"/>
              <w:ind w:left="360"/>
              <w:rPr>
                <w:szCs w:val="20"/>
              </w:rPr>
            </w:pPr>
          </w:p>
        </w:tc>
      </w:tr>
    </w:tbl>
    <w:p w14:paraId="2CAA7777" w14:textId="2228AD66" w:rsidR="00F73B54" w:rsidRPr="000020EF" w:rsidRDefault="00F73B54" w:rsidP="00F73B54">
      <w:pPr>
        <w:pStyle w:val="Adreszwrotnynakopercie"/>
        <w:jc w:val="center"/>
        <w:rPr>
          <w:rFonts w:asciiTheme="minorHAnsi" w:hAnsiTheme="minorHAnsi"/>
          <w:b/>
          <w:sz w:val="20"/>
          <w:u w:val="single"/>
        </w:rPr>
      </w:pPr>
    </w:p>
    <w:p w14:paraId="0D90F17C" w14:textId="77777777" w:rsidR="00C32419" w:rsidRPr="00AC1006" w:rsidRDefault="00C32419" w:rsidP="00F73B54">
      <w:pPr>
        <w:pStyle w:val="Adreszwrotnynakopercie"/>
        <w:jc w:val="center"/>
        <w:rPr>
          <w:rFonts w:asciiTheme="minorHAnsi" w:eastAsiaTheme="minorHAnsi" w:hAnsiTheme="minorHAnsi" w:cs="Tahoma"/>
          <w:color w:val="000000" w:themeColor="background1"/>
          <w:spacing w:val="4"/>
          <w:sz w:val="20"/>
          <w:lang w:eastAsia="en-US"/>
        </w:rPr>
      </w:pPr>
    </w:p>
    <w:p w14:paraId="2138CED1" w14:textId="2F336BC1" w:rsidR="00EE18D1" w:rsidRPr="00AC1006" w:rsidRDefault="00EE18D1" w:rsidP="00AC1006">
      <w:pPr>
        <w:pStyle w:val="Adreszwrotnynakopercie"/>
        <w:jc w:val="both"/>
        <w:rPr>
          <w:rFonts w:asciiTheme="minorHAnsi" w:eastAsiaTheme="minorHAnsi" w:hAnsiTheme="minorHAnsi" w:cs="Tahoma"/>
          <w:color w:val="000000" w:themeColor="background1"/>
          <w:spacing w:val="4"/>
          <w:sz w:val="20"/>
          <w:lang w:eastAsia="en-US"/>
        </w:rPr>
      </w:pPr>
      <w:r w:rsidRPr="00AC1006">
        <w:rPr>
          <w:rFonts w:asciiTheme="minorHAnsi" w:eastAsiaTheme="minorHAnsi" w:hAnsiTheme="minorHAnsi" w:cs="Tahoma"/>
          <w:color w:val="000000" w:themeColor="background1"/>
          <w:spacing w:val="4"/>
          <w:sz w:val="20"/>
          <w:lang w:eastAsia="en-US"/>
        </w:rPr>
        <w:t>Warunki serwisu pogwarancyjnego</w:t>
      </w:r>
      <w:r>
        <w:rPr>
          <w:rFonts w:asciiTheme="minorHAnsi" w:eastAsiaTheme="minorHAnsi" w:hAnsiTheme="minorHAnsi" w:cs="Tahoma"/>
          <w:color w:val="000000" w:themeColor="background1"/>
          <w:spacing w:val="4"/>
          <w:sz w:val="20"/>
          <w:lang w:eastAsia="en-US"/>
        </w:rPr>
        <w:t>:</w:t>
      </w:r>
    </w:p>
    <w:p w14:paraId="1B62DCC1" w14:textId="77777777" w:rsidR="00EE18D1" w:rsidRPr="00AC1006" w:rsidRDefault="00EE18D1" w:rsidP="00AC1006">
      <w:pPr>
        <w:pStyle w:val="Adreszwrotnynakopercie"/>
        <w:jc w:val="both"/>
        <w:rPr>
          <w:rFonts w:asciiTheme="minorHAnsi" w:eastAsiaTheme="minorHAnsi" w:hAnsiTheme="minorHAnsi" w:cs="Tahoma"/>
          <w:color w:val="000000" w:themeColor="background1"/>
          <w:spacing w:val="4"/>
          <w:sz w:val="20"/>
          <w:lang w:eastAsia="en-US"/>
        </w:rPr>
      </w:pPr>
      <w:r w:rsidRPr="00AC1006">
        <w:rPr>
          <w:rFonts w:asciiTheme="minorHAnsi" w:eastAsiaTheme="minorHAnsi" w:hAnsiTheme="minorHAnsi" w:cs="Tahoma"/>
          <w:color w:val="000000" w:themeColor="background1"/>
          <w:spacing w:val="4"/>
          <w:sz w:val="20"/>
          <w:lang w:eastAsia="en-US"/>
        </w:rPr>
        <w:t>1. Co najmniej 5 lat od dnia upływu okresu Gwarancji, w tym czasie gwarantowana jest dostępność części zamiennych.</w:t>
      </w:r>
    </w:p>
    <w:p w14:paraId="3ABB8DC3" w14:textId="62B987F5" w:rsidR="00EE18D1" w:rsidRPr="00AC1006" w:rsidRDefault="00EE18D1" w:rsidP="00AC1006">
      <w:pPr>
        <w:pStyle w:val="Adreszwrotnynakopercie"/>
        <w:jc w:val="both"/>
        <w:rPr>
          <w:rFonts w:asciiTheme="minorHAnsi" w:eastAsiaTheme="minorHAnsi" w:hAnsiTheme="minorHAnsi" w:cs="Tahoma"/>
          <w:color w:val="000000" w:themeColor="background1"/>
          <w:spacing w:val="4"/>
          <w:sz w:val="20"/>
          <w:lang w:eastAsia="en-US"/>
        </w:rPr>
      </w:pPr>
      <w:r w:rsidRPr="00AC1006">
        <w:rPr>
          <w:rFonts w:asciiTheme="minorHAnsi" w:eastAsiaTheme="minorHAnsi" w:hAnsiTheme="minorHAnsi" w:cs="Tahoma"/>
          <w:color w:val="000000" w:themeColor="background1"/>
          <w:spacing w:val="4"/>
          <w:sz w:val="20"/>
          <w:lang w:eastAsia="en-US"/>
        </w:rPr>
        <w:t xml:space="preserve">2. Czas reakcji na Zgłoszenie Serwisowe rozumiany jest jako okres, który upłynął od momentu wysłania przez Zamawiającego Zgłoszenia Serwisowego do momentu potwierdzenia przez Wykonawcę przyjęcia Zgłoszenia Serwisowego. Wykonawca zobowiązuje się, że wyniesie on nie więcej niż 48 h.  </w:t>
      </w:r>
    </w:p>
    <w:p w14:paraId="360A1B6C" w14:textId="5320D75A" w:rsidR="00F73B54" w:rsidRPr="00AC1006" w:rsidRDefault="00EE18D1" w:rsidP="00AC1006">
      <w:pPr>
        <w:pStyle w:val="Adreszwrotnynakopercie"/>
        <w:jc w:val="both"/>
        <w:rPr>
          <w:rFonts w:asciiTheme="minorHAnsi" w:eastAsiaTheme="minorHAnsi" w:hAnsiTheme="minorHAnsi" w:cs="Tahoma"/>
          <w:color w:val="000000" w:themeColor="background1"/>
          <w:spacing w:val="4"/>
          <w:sz w:val="20"/>
          <w:lang w:eastAsia="en-US"/>
        </w:rPr>
      </w:pPr>
      <w:r w:rsidRPr="00AC1006">
        <w:rPr>
          <w:rFonts w:asciiTheme="minorHAnsi" w:eastAsiaTheme="minorHAnsi" w:hAnsiTheme="minorHAnsi" w:cs="Tahoma"/>
          <w:color w:val="000000" w:themeColor="background1"/>
          <w:spacing w:val="4"/>
          <w:sz w:val="20"/>
          <w:lang w:eastAsia="en-US"/>
        </w:rPr>
        <w:t>3.</w:t>
      </w:r>
      <w:r>
        <w:rPr>
          <w:rFonts w:asciiTheme="minorHAnsi" w:eastAsiaTheme="minorHAnsi" w:hAnsiTheme="minorHAnsi" w:cs="Tahoma"/>
          <w:color w:val="000000" w:themeColor="background1"/>
          <w:spacing w:val="4"/>
          <w:sz w:val="20"/>
          <w:lang w:eastAsia="en-US"/>
        </w:rPr>
        <w:t xml:space="preserve"> </w:t>
      </w:r>
      <w:r w:rsidRPr="00AC1006">
        <w:rPr>
          <w:rFonts w:asciiTheme="minorHAnsi" w:eastAsiaTheme="minorHAnsi" w:hAnsiTheme="minorHAnsi" w:cs="Tahoma"/>
          <w:color w:val="000000" w:themeColor="background1"/>
          <w:spacing w:val="4"/>
          <w:sz w:val="20"/>
          <w:lang w:eastAsia="en-US"/>
        </w:rPr>
        <w:t>Maksymalny Czas Naprawy wynosi 45 dni od momentu ofic</w:t>
      </w:r>
      <w:r>
        <w:rPr>
          <w:rFonts w:asciiTheme="minorHAnsi" w:eastAsiaTheme="minorHAnsi" w:hAnsiTheme="minorHAnsi" w:cs="Tahoma"/>
          <w:color w:val="000000" w:themeColor="background1"/>
          <w:spacing w:val="4"/>
          <w:sz w:val="20"/>
          <w:lang w:eastAsia="en-US"/>
        </w:rPr>
        <w:t>j</w:t>
      </w:r>
      <w:r w:rsidRPr="00AC1006">
        <w:rPr>
          <w:rFonts w:asciiTheme="minorHAnsi" w:eastAsiaTheme="minorHAnsi" w:hAnsiTheme="minorHAnsi" w:cs="Tahoma"/>
          <w:color w:val="000000" w:themeColor="background1"/>
          <w:spacing w:val="4"/>
          <w:sz w:val="20"/>
          <w:lang w:eastAsia="en-US"/>
        </w:rPr>
        <w:t>alnego momentu potwierdzenia warunków i kosztów naprawy przez PORT</w:t>
      </w:r>
      <w:r>
        <w:rPr>
          <w:rFonts w:asciiTheme="minorHAnsi" w:eastAsiaTheme="minorHAnsi" w:hAnsiTheme="minorHAnsi" w:cs="Tahoma"/>
          <w:color w:val="000000" w:themeColor="background1"/>
          <w:spacing w:val="4"/>
          <w:sz w:val="20"/>
          <w:lang w:eastAsia="en-US"/>
        </w:rPr>
        <w:t>.</w:t>
      </w:r>
    </w:p>
    <w:p w14:paraId="087BD295" w14:textId="77777777" w:rsidR="000020EF" w:rsidRPr="00B92BB0" w:rsidRDefault="000020EF" w:rsidP="000020EF">
      <w:pPr>
        <w:pStyle w:val="Adreszwrotnynakopercie"/>
        <w:rPr>
          <w:rFonts w:asciiTheme="minorHAnsi" w:hAnsiTheme="minorHAnsi" w:cs="Tahoma"/>
          <w:b/>
          <w:sz w:val="20"/>
        </w:rPr>
      </w:pPr>
    </w:p>
    <w:p w14:paraId="114A43AC" w14:textId="77777777" w:rsidR="000020EF" w:rsidRPr="00DC5644" w:rsidRDefault="000020EF" w:rsidP="000020EF">
      <w:pPr>
        <w:suppressAutoHyphens/>
        <w:spacing w:after="0" w:line="276" w:lineRule="auto"/>
        <w:ind w:left="-284" w:right="-369" w:firstLine="1"/>
        <w:rPr>
          <w:szCs w:val="20"/>
        </w:rPr>
      </w:pPr>
      <w:bookmarkStart w:id="0" w:name="_Hlk76029742"/>
      <w:r w:rsidRPr="00B92BB0">
        <w:rPr>
          <w:rFonts w:eastAsia="MS Mincho" w:cs="Calibri"/>
          <w:b/>
          <w:i/>
          <w:color w:val="0070C0"/>
          <w:spacing w:val="0"/>
          <w:szCs w:val="20"/>
          <w:lang w:eastAsia="zh-CN"/>
        </w:rPr>
        <w:t xml:space="preserve">Niniejszy dokument musi być opatrzony przez osobę lub osoby uprawnione do reprezentowania Wykonawcy kwalifikowanym podpisem elektronicznym </w:t>
      </w:r>
      <w:bookmarkEnd w:id="0"/>
    </w:p>
    <w:p w14:paraId="6064EA63" w14:textId="21C8F4F4" w:rsidR="003C567B" w:rsidRPr="000020EF" w:rsidRDefault="003C567B" w:rsidP="00F73B54">
      <w:pPr>
        <w:rPr>
          <w:szCs w:val="20"/>
        </w:rPr>
      </w:pPr>
    </w:p>
    <w:sectPr w:rsidR="003C567B" w:rsidRPr="000020EF"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63EF" w14:textId="77777777" w:rsidR="003D0C5E" w:rsidRDefault="003D0C5E" w:rsidP="006747BD">
      <w:pPr>
        <w:spacing w:after="0" w:line="240" w:lineRule="auto"/>
      </w:pPr>
      <w:r>
        <w:separator/>
      </w:r>
    </w:p>
  </w:endnote>
  <w:endnote w:type="continuationSeparator" w:id="0">
    <w:p w14:paraId="532B98C8" w14:textId="77777777" w:rsidR="003D0C5E" w:rsidRDefault="003D0C5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Verdana,Verdana,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162B4EC" w14:textId="77777777" w:rsidR="00CF01C2" w:rsidRDefault="00CF01C2">
            <w:pPr>
              <w:pStyle w:val="Stopka"/>
            </w:pPr>
          </w:p>
          <w:p w14:paraId="42C373DD" w14:textId="77777777" w:rsidR="002C5CFA" w:rsidRDefault="00791C1D">
            <w:pPr>
              <w:pStyle w:val="Stopka"/>
            </w:pPr>
            <w:r>
              <w:rPr>
                <w:noProof/>
                <w:lang w:eastAsia="pl-PL"/>
              </w:rPr>
              <w:drawing>
                <wp:inline distT="0" distB="0" distL="0" distR="0" wp14:anchorId="4709B504" wp14:editId="393DCF36">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5F40AC9E" w14:textId="77777777" w:rsidR="002C5CFA" w:rsidRDefault="002C5CFA">
            <w:pPr>
              <w:pStyle w:val="Stopka"/>
            </w:pPr>
          </w:p>
          <w:p w14:paraId="4F2B0BB4"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CF01C2">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CF01C2">
              <w:rPr>
                <w:bCs/>
                <w:noProof/>
              </w:rPr>
              <w:t>1</w:t>
            </w:r>
            <w:r>
              <w:rPr>
                <w:b w:val="0"/>
                <w:bCs/>
                <w:sz w:val="24"/>
                <w:szCs w:val="24"/>
              </w:rPr>
              <w:fldChar w:fldCharType="end"/>
            </w:r>
          </w:p>
        </w:sdtContent>
      </w:sdt>
    </w:sdtContent>
  </w:sdt>
  <w:p w14:paraId="416CDE38"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6C833970" wp14:editId="013F773A">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ACD9128" wp14:editId="3B46A85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0B5CE54" w14:textId="77777777" w:rsidR="00A4666C" w:rsidRDefault="00A4666C" w:rsidP="00A4666C">
                          <w:pPr>
                            <w:pStyle w:val="LukStopka-adres"/>
                          </w:pPr>
                          <w:r>
                            <w:t>Sieć Badawcza Łukasiewicz – PORT Polski Ośrodek Rozwoju Technologii</w:t>
                          </w:r>
                        </w:p>
                        <w:p w14:paraId="79B93E7C" w14:textId="77777777" w:rsidR="00A4666C" w:rsidRDefault="00A4666C" w:rsidP="00A4666C">
                          <w:pPr>
                            <w:pStyle w:val="LukStopka-adres"/>
                          </w:pPr>
                          <w:r>
                            <w:t>54-066 Wrocław, ul. Stabłowicka 147, Tel: +48 71 734 77 77, Fax: +48 71 720 16 00</w:t>
                          </w:r>
                        </w:p>
                        <w:p w14:paraId="529F104F" w14:textId="2B2296E0" w:rsidR="00A4666C" w:rsidRPr="003C567B" w:rsidRDefault="00A4666C" w:rsidP="00A4666C">
                          <w:pPr>
                            <w:pStyle w:val="LukStopka-adres"/>
                            <w:rPr>
                              <w:lang w:val="en-US"/>
                            </w:rPr>
                          </w:pPr>
                          <w:r w:rsidRPr="003C567B">
                            <w:rPr>
                              <w:lang w:val="en-US"/>
                            </w:rPr>
                            <w:t>E-mail: biuro@port.</w:t>
                          </w:r>
                          <w:r w:rsidR="002C20CC" w:rsidRPr="003C567B">
                            <w:rPr>
                              <w:lang w:val="en-US"/>
                            </w:rPr>
                            <w:t>lukasiewicz.gov</w:t>
                          </w:r>
                          <w:r w:rsidRPr="003C567B">
                            <w:rPr>
                              <w:lang w:val="en-US"/>
                            </w:rPr>
                            <w:t xml:space="preserve">.pl | NIP: 894 314 05 23, REGON: </w:t>
                          </w:r>
                          <w:r w:rsidR="00842BD3" w:rsidRPr="003C567B">
                            <w:rPr>
                              <w:lang w:val="en-US"/>
                            </w:rPr>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ACD912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0B5CE54" w14:textId="77777777" w:rsidR="00A4666C" w:rsidRDefault="00A4666C" w:rsidP="00A4666C">
                    <w:pPr>
                      <w:pStyle w:val="LukStopka-adres"/>
                    </w:pPr>
                    <w:r>
                      <w:t>Sieć Badawcza Łukasiewicz – PORT Polski Ośrodek Rozwoju Technologii</w:t>
                    </w:r>
                  </w:p>
                  <w:p w14:paraId="79B93E7C" w14:textId="77777777" w:rsidR="00A4666C" w:rsidRDefault="00A4666C" w:rsidP="00A4666C">
                    <w:pPr>
                      <w:pStyle w:val="LukStopka-adres"/>
                    </w:pPr>
                    <w:r>
                      <w:t>54-066 Wrocław, ul. Stabłowicka 147, Tel: +48 71 734 77 77, Fax: +48 71 720 16 00</w:t>
                    </w:r>
                  </w:p>
                  <w:p w14:paraId="529F104F" w14:textId="2B2296E0" w:rsidR="00A4666C" w:rsidRPr="003C567B" w:rsidRDefault="00A4666C" w:rsidP="00A4666C">
                    <w:pPr>
                      <w:pStyle w:val="LukStopka-adres"/>
                      <w:rPr>
                        <w:lang w:val="en-US"/>
                      </w:rPr>
                    </w:pPr>
                    <w:r w:rsidRPr="003C567B">
                      <w:rPr>
                        <w:lang w:val="en-US"/>
                      </w:rPr>
                      <w:t>E-mail: biuro@port.</w:t>
                    </w:r>
                    <w:r w:rsidR="002C20CC" w:rsidRPr="003C567B">
                      <w:rPr>
                        <w:lang w:val="en-US"/>
                      </w:rPr>
                      <w:t>lukasiewicz.gov</w:t>
                    </w:r>
                    <w:r w:rsidRPr="003C567B">
                      <w:rPr>
                        <w:lang w:val="en-US"/>
                      </w:rPr>
                      <w:t xml:space="preserve">.pl | NIP: 894 314 05 23, REGON: </w:t>
                    </w:r>
                    <w:r w:rsidR="00842BD3" w:rsidRPr="003C567B">
                      <w:rPr>
                        <w:lang w:val="en-US"/>
                      </w:rPr>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5AB3"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0803" w14:textId="77777777" w:rsidR="003D0C5E" w:rsidRDefault="003D0C5E" w:rsidP="006747BD">
      <w:pPr>
        <w:spacing w:after="0" w:line="240" w:lineRule="auto"/>
      </w:pPr>
      <w:r>
        <w:separator/>
      </w:r>
    </w:p>
  </w:footnote>
  <w:footnote w:type="continuationSeparator" w:id="0">
    <w:p w14:paraId="173FFD91" w14:textId="77777777" w:rsidR="003D0C5E" w:rsidRDefault="003D0C5E" w:rsidP="006747BD">
      <w:pPr>
        <w:spacing w:after="0" w:line="240" w:lineRule="auto"/>
      </w:pPr>
      <w:r>
        <w:continuationSeparator/>
      </w:r>
    </w:p>
  </w:footnote>
  <w:footnote w:id="1">
    <w:p w14:paraId="1AC236BC" w14:textId="6CDA3F2D" w:rsidR="00E70254" w:rsidRDefault="00E70254">
      <w:pPr>
        <w:pStyle w:val="Tekstprzypisudolnego"/>
      </w:pPr>
      <w:r>
        <w:rPr>
          <w:rStyle w:val="Odwoanieprzypisudolnego"/>
        </w:rPr>
        <w:footnoteRef/>
      </w:r>
      <w:r>
        <w:t xml:space="preserve"> Równoważność systemu </w:t>
      </w:r>
      <w:r w:rsidRPr="00954B22">
        <w:t>opisan</w:t>
      </w:r>
      <w:r>
        <w:t>a została</w:t>
      </w:r>
      <w:r w:rsidRPr="00954B22">
        <w:t xml:space="preserve"> w załączniku do OPZ.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C579"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7881BAA7" wp14:editId="23E298B9">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180B096B"/>
    <w:multiLevelType w:val="hybridMultilevel"/>
    <w:tmpl w:val="B0D8DDEE"/>
    <w:lvl w:ilvl="0" w:tplc="B4DA9F0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4F4A9C"/>
    <w:multiLevelType w:val="hybridMultilevel"/>
    <w:tmpl w:val="9DD0B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CFB0DBE"/>
    <w:multiLevelType w:val="hybridMultilevel"/>
    <w:tmpl w:val="ACF81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20EF"/>
    <w:rsid w:val="00013917"/>
    <w:rsid w:val="00047EBC"/>
    <w:rsid w:val="00070438"/>
    <w:rsid w:val="00077647"/>
    <w:rsid w:val="000B2641"/>
    <w:rsid w:val="000B7671"/>
    <w:rsid w:val="000C4801"/>
    <w:rsid w:val="000D2F0F"/>
    <w:rsid w:val="000D7032"/>
    <w:rsid w:val="000E3803"/>
    <w:rsid w:val="00102C61"/>
    <w:rsid w:val="0010799D"/>
    <w:rsid w:val="001132C5"/>
    <w:rsid w:val="0011454D"/>
    <w:rsid w:val="00134929"/>
    <w:rsid w:val="00141A3E"/>
    <w:rsid w:val="001443A8"/>
    <w:rsid w:val="001765FF"/>
    <w:rsid w:val="001A0BD2"/>
    <w:rsid w:val="001C6203"/>
    <w:rsid w:val="001D04CE"/>
    <w:rsid w:val="001F32DF"/>
    <w:rsid w:val="00202DBD"/>
    <w:rsid w:val="0020513B"/>
    <w:rsid w:val="00231524"/>
    <w:rsid w:val="0027350E"/>
    <w:rsid w:val="002B7B94"/>
    <w:rsid w:val="002C20CC"/>
    <w:rsid w:val="002C5CFA"/>
    <w:rsid w:val="002D48BE"/>
    <w:rsid w:val="002F4540"/>
    <w:rsid w:val="003028E3"/>
    <w:rsid w:val="00310E02"/>
    <w:rsid w:val="003317CA"/>
    <w:rsid w:val="00335F9F"/>
    <w:rsid w:val="00344572"/>
    <w:rsid w:val="00346C00"/>
    <w:rsid w:val="00354A18"/>
    <w:rsid w:val="00392DFA"/>
    <w:rsid w:val="003B1272"/>
    <w:rsid w:val="003C567B"/>
    <w:rsid w:val="003D0C5E"/>
    <w:rsid w:val="003E69AF"/>
    <w:rsid w:val="003F4BA3"/>
    <w:rsid w:val="00436D4A"/>
    <w:rsid w:val="00451F6A"/>
    <w:rsid w:val="004F5805"/>
    <w:rsid w:val="00526CDD"/>
    <w:rsid w:val="00555CD5"/>
    <w:rsid w:val="00570F6A"/>
    <w:rsid w:val="0057711A"/>
    <w:rsid w:val="005D102F"/>
    <w:rsid w:val="005D1495"/>
    <w:rsid w:val="005E65BB"/>
    <w:rsid w:val="00655C2B"/>
    <w:rsid w:val="00657E99"/>
    <w:rsid w:val="00664E7D"/>
    <w:rsid w:val="00670DC0"/>
    <w:rsid w:val="006747BD"/>
    <w:rsid w:val="006749EF"/>
    <w:rsid w:val="006919BD"/>
    <w:rsid w:val="006B0443"/>
    <w:rsid w:val="006C3358"/>
    <w:rsid w:val="006D6DE5"/>
    <w:rsid w:val="006E5990"/>
    <w:rsid w:val="006F645A"/>
    <w:rsid w:val="00721B01"/>
    <w:rsid w:val="00725116"/>
    <w:rsid w:val="00764305"/>
    <w:rsid w:val="00791C1D"/>
    <w:rsid w:val="00795C18"/>
    <w:rsid w:val="007E2145"/>
    <w:rsid w:val="00805DF6"/>
    <w:rsid w:val="00821F16"/>
    <w:rsid w:val="008368C0"/>
    <w:rsid w:val="00842BD3"/>
    <w:rsid w:val="0084396A"/>
    <w:rsid w:val="008442CF"/>
    <w:rsid w:val="00854B7B"/>
    <w:rsid w:val="00896838"/>
    <w:rsid w:val="008C1729"/>
    <w:rsid w:val="008C1C21"/>
    <w:rsid w:val="008C75DD"/>
    <w:rsid w:val="008D7038"/>
    <w:rsid w:val="008F027B"/>
    <w:rsid w:val="008F0B16"/>
    <w:rsid w:val="008F209D"/>
    <w:rsid w:val="009064B6"/>
    <w:rsid w:val="00922169"/>
    <w:rsid w:val="0099379C"/>
    <w:rsid w:val="009B5930"/>
    <w:rsid w:val="009D4C4D"/>
    <w:rsid w:val="009D6BAD"/>
    <w:rsid w:val="009D7C07"/>
    <w:rsid w:val="00A05E86"/>
    <w:rsid w:val="00A06427"/>
    <w:rsid w:val="00A15AC0"/>
    <w:rsid w:val="00A36F46"/>
    <w:rsid w:val="00A4666C"/>
    <w:rsid w:val="00A52C29"/>
    <w:rsid w:val="00A661DD"/>
    <w:rsid w:val="00A72214"/>
    <w:rsid w:val="00A767B2"/>
    <w:rsid w:val="00AA6937"/>
    <w:rsid w:val="00AC1006"/>
    <w:rsid w:val="00AD7645"/>
    <w:rsid w:val="00B55B01"/>
    <w:rsid w:val="00B61F8A"/>
    <w:rsid w:val="00BA0E53"/>
    <w:rsid w:val="00BF72DD"/>
    <w:rsid w:val="00C00EE9"/>
    <w:rsid w:val="00C01A6B"/>
    <w:rsid w:val="00C04233"/>
    <w:rsid w:val="00C32419"/>
    <w:rsid w:val="00C736D5"/>
    <w:rsid w:val="00C77C63"/>
    <w:rsid w:val="00CA7EA9"/>
    <w:rsid w:val="00CC5643"/>
    <w:rsid w:val="00CF01C2"/>
    <w:rsid w:val="00CF156B"/>
    <w:rsid w:val="00D005B3"/>
    <w:rsid w:val="00D00717"/>
    <w:rsid w:val="00D06D36"/>
    <w:rsid w:val="00D40690"/>
    <w:rsid w:val="00D40D63"/>
    <w:rsid w:val="00D4282F"/>
    <w:rsid w:val="00D51AB1"/>
    <w:rsid w:val="00D944E3"/>
    <w:rsid w:val="00DA52A1"/>
    <w:rsid w:val="00DB7DFB"/>
    <w:rsid w:val="00DC3ECE"/>
    <w:rsid w:val="00DE2315"/>
    <w:rsid w:val="00DF7C10"/>
    <w:rsid w:val="00E01B68"/>
    <w:rsid w:val="00E13E0E"/>
    <w:rsid w:val="00E20A95"/>
    <w:rsid w:val="00E504BE"/>
    <w:rsid w:val="00E70254"/>
    <w:rsid w:val="00E71EFE"/>
    <w:rsid w:val="00E75F3D"/>
    <w:rsid w:val="00EB3F57"/>
    <w:rsid w:val="00EC128C"/>
    <w:rsid w:val="00ED6014"/>
    <w:rsid w:val="00ED7972"/>
    <w:rsid w:val="00EE18D1"/>
    <w:rsid w:val="00EE493C"/>
    <w:rsid w:val="00EE702E"/>
    <w:rsid w:val="00EF2DA3"/>
    <w:rsid w:val="00F025AA"/>
    <w:rsid w:val="00F52497"/>
    <w:rsid w:val="00F61061"/>
    <w:rsid w:val="00F64EEB"/>
    <w:rsid w:val="00F73B54"/>
    <w:rsid w:val="00F85518"/>
    <w:rsid w:val="00FB1CC7"/>
    <w:rsid w:val="00FB22AA"/>
    <w:rsid w:val="00FE0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15DDA"/>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dreszwrotnynakopercie">
    <w:name w:val="envelope return"/>
    <w:basedOn w:val="Normalny"/>
    <w:rsid w:val="00F73B54"/>
    <w:pPr>
      <w:spacing w:after="0" w:line="240" w:lineRule="auto"/>
      <w:jc w:val="left"/>
    </w:pPr>
    <w:rPr>
      <w:rFonts w:ascii="Arial" w:eastAsia="Times New Roman" w:hAnsi="Arial" w:cs="Times New Roman"/>
      <w:color w:val="auto"/>
      <w:spacing w:val="0"/>
      <w:sz w:val="24"/>
      <w:szCs w:val="20"/>
      <w:lang w:eastAsia="pl-PL"/>
    </w:rPr>
  </w:style>
  <w:style w:type="paragraph" w:styleId="Akapitzlist">
    <w:name w:val="List Paragraph"/>
    <w:basedOn w:val="Normalny"/>
    <w:uiPriority w:val="34"/>
    <w:qFormat/>
    <w:rsid w:val="00F73B54"/>
    <w:pPr>
      <w:spacing w:after="200" w:line="276" w:lineRule="auto"/>
      <w:ind w:left="720"/>
      <w:contextualSpacing/>
      <w:jc w:val="left"/>
    </w:pPr>
    <w:rPr>
      <w:color w:val="auto"/>
      <w:spacing w:val="0"/>
      <w:sz w:val="22"/>
    </w:rPr>
  </w:style>
  <w:style w:type="paragraph" w:customStyle="1" w:styleId="Podstawowyakapitowy">
    <w:name w:val="[Podstawowy akapitowy]"/>
    <w:basedOn w:val="Normalny"/>
    <w:uiPriority w:val="99"/>
    <w:rsid w:val="00102C61"/>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character" w:styleId="Odwoaniedokomentarza">
    <w:name w:val="annotation reference"/>
    <w:basedOn w:val="Domylnaczcionkaakapitu"/>
    <w:uiPriority w:val="99"/>
    <w:semiHidden/>
    <w:unhideWhenUsed/>
    <w:rsid w:val="00102C61"/>
    <w:rPr>
      <w:sz w:val="16"/>
      <w:szCs w:val="16"/>
    </w:rPr>
  </w:style>
  <w:style w:type="paragraph" w:styleId="Tekstkomentarza">
    <w:name w:val="annotation text"/>
    <w:basedOn w:val="Normalny"/>
    <w:link w:val="TekstkomentarzaZnak"/>
    <w:uiPriority w:val="99"/>
    <w:semiHidden/>
    <w:unhideWhenUsed/>
    <w:rsid w:val="00102C61"/>
    <w:pPr>
      <w:spacing w:after="20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semiHidden/>
    <w:rsid w:val="00102C61"/>
    <w:rPr>
      <w:sz w:val="20"/>
      <w:szCs w:val="20"/>
    </w:rPr>
  </w:style>
  <w:style w:type="paragraph" w:customStyle="1" w:styleId="Default">
    <w:name w:val="Default"/>
    <w:rsid w:val="000D7032"/>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F85518"/>
    <w:pPr>
      <w:spacing w:after="280"/>
      <w:jc w:val="both"/>
    </w:pPr>
    <w:rPr>
      <w:b/>
      <w:bCs/>
      <w:color w:val="000000" w:themeColor="background1"/>
      <w:spacing w:val="4"/>
    </w:rPr>
  </w:style>
  <w:style w:type="character" w:customStyle="1" w:styleId="TematkomentarzaZnak">
    <w:name w:val="Temat komentarza Znak"/>
    <w:basedOn w:val="TekstkomentarzaZnak"/>
    <w:link w:val="Tematkomentarza"/>
    <w:uiPriority w:val="99"/>
    <w:semiHidden/>
    <w:rsid w:val="00F85518"/>
    <w:rPr>
      <w:b/>
      <w:bCs/>
      <w:color w:val="000000" w:themeColor="background1"/>
      <w:spacing w:val="4"/>
      <w:sz w:val="20"/>
      <w:szCs w:val="20"/>
    </w:rPr>
  </w:style>
  <w:style w:type="paragraph" w:styleId="Tekstprzypisudolnego">
    <w:name w:val="footnote text"/>
    <w:basedOn w:val="Normalny"/>
    <w:link w:val="TekstprzypisudolnegoZnak"/>
    <w:uiPriority w:val="99"/>
    <w:semiHidden/>
    <w:unhideWhenUsed/>
    <w:rsid w:val="00E7025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70254"/>
    <w:rPr>
      <w:color w:val="000000" w:themeColor="background1"/>
      <w:spacing w:val="4"/>
      <w:sz w:val="20"/>
      <w:szCs w:val="20"/>
    </w:rPr>
  </w:style>
  <w:style w:type="character" w:styleId="Odwoanieprzypisudolnego">
    <w:name w:val="footnote reference"/>
    <w:basedOn w:val="Domylnaczcionkaakapitu"/>
    <w:uiPriority w:val="99"/>
    <w:semiHidden/>
    <w:unhideWhenUsed/>
    <w:rsid w:val="00E70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47042483">
      <w:bodyDiv w:val="1"/>
      <w:marLeft w:val="240"/>
      <w:marRight w:val="240"/>
      <w:marTop w:val="240"/>
      <w:marBottom w:val="60"/>
      <w:divBdr>
        <w:top w:val="none" w:sz="0" w:space="0" w:color="auto"/>
        <w:left w:val="none" w:sz="0" w:space="0" w:color="auto"/>
        <w:bottom w:val="none" w:sz="0" w:space="0" w:color="auto"/>
        <w:right w:val="none" w:sz="0" w:space="0" w:color="auto"/>
      </w:divBdr>
      <w:divsChild>
        <w:div w:id="855388392">
          <w:marLeft w:val="0"/>
          <w:marRight w:val="0"/>
          <w:marTop w:val="0"/>
          <w:marBottom w:val="0"/>
          <w:divBdr>
            <w:top w:val="none" w:sz="0" w:space="0" w:color="auto"/>
            <w:left w:val="none" w:sz="0" w:space="0" w:color="auto"/>
            <w:bottom w:val="single" w:sz="6" w:space="9" w:color="C8C8C8"/>
            <w:right w:val="none" w:sz="0" w:space="0" w:color="auto"/>
          </w:divBdr>
          <w:divsChild>
            <w:div w:id="267809868">
              <w:marLeft w:val="0"/>
              <w:marRight w:val="0"/>
              <w:marTop w:val="0"/>
              <w:marBottom w:val="0"/>
              <w:divBdr>
                <w:top w:val="none" w:sz="0" w:space="0" w:color="auto"/>
                <w:left w:val="none" w:sz="0" w:space="0" w:color="auto"/>
                <w:bottom w:val="none" w:sz="0" w:space="0" w:color="auto"/>
                <w:right w:val="none" w:sz="0" w:space="0" w:color="auto"/>
              </w:divBdr>
            </w:div>
            <w:div w:id="994990174">
              <w:marLeft w:val="0"/>
              <w:marRight w:val="0"/>
              <w:marTop w:val="0"/>
              <w:marBottom w:val="0"/>
              <w:divBdr>
                <w:top w:val="none" w:sz="0" w:space="0" w:color="auto"/>
                <w:left w:val="none" w:sz="0" w:space="0" w:color="auto"/>
                <w:bottom w:val="none" w:sz="0" w:space="0" w:color="auto"/>
                <w:right w:val="none" w:sz="0" w:space="0" w:color="auto"/>
              </w:divBdr>
            </w:div>
            <w:div w:id="746028445">
              <w:marLeft w:val="0"/>
              <w:marRight w:val="0"/>
              <w:marTop w:val="0"/>
              <w:marBottom w:val="0"/>
              <w:divBdr>
                <w:top w:val="none" w:sz="0" w:space="0" w:color="auto"/>
                <w:left w:val="none" w:sz="0" w:space="0" w:color="auto"/>
                <w:bottom w:val="none" w:sz="0" w:space="0" w:color="auto"/>
                <w:right w:val="none" w:sz="0" w:space="0" w:color="auto"/>
              </w:divBdr>
            </w:div>
            <w:div w:id="5244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 w:id="20063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B0E74-47EF-4C33-8E7C-9F23D696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629</Words>
  <Characters>3775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Marzena Krzymińska | Łukasiewicz - PORT Polski Ośrodek Rozwoju Technologii</cp:lastModifiedBy>
  <cp:revision>9</cp:revision>
  <cp:lastPrinted>2020-02-10T12:13:00Z</cp:lastPrinted>
  <dcterms:created xsi:type="dcterms:W3CDTF">2021-08-10T10:16:00Z</dcterms:created>
  <dcterms:modified xsi:type="dcterms:W3CDTF">2021-08-25T08:27:00Z</dcterms:modified>
</cp:coreProperties>
</file>