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BCA8E37" w:rsidR="00B13C7F" w:rsidRPr="00E3579F" w:rsidRDefault="00AA68B5" w:rsidP="00EB6F30">
      <w:pPr>
        <w:tabs>
          <w:tab w:val="left" w:pos="1610"/>
          <w:tab w:val="left" w:pos="4465"/>
          <w:tab w:val="left" w:pos="6449"/>
        </w:tabs>
        <w:spacing w:line="276" w:lineRule="auto"/>
        <w:jc w:val="right"/>
        <w:rPr>
          <w:rFonts w:asciiTheme="minorHAnsi" w:hAnsiTheme="minorHAnsi" w:cstheme="minorHAnsi"/>
        </w:rPr>
      </w:pPr>
      <w:r w:rsidRPr="00E3579F">
        <w:rPr>
          <w:rFonts w:asciiTheme="minorHAnsi" w:hAnsiTheme="minorHAnsi" w:cstheme="minorHAnsi"/>
        </w:rPr>
        <w:t xml:space="preserve">Kraków </w:t>
      </w:r>
      <w:r w:rsidR="002A660C" w:rsidRPr="00E3579F">
        <w:rPr>
          <w:rFonts w:asciiTheme="minorHAnsi" w:hAnsiTheme="minorHAnsi" w:cstheme="minorHAnsi"/>
        </w:rPr>
        <w:t>1</w:t>
      </w:r>
      <w:r w:rsidR="00EB6F30" w:rsidRPr="00E3579F">
        <w:rPr>
          <w:rFonts w:asciiTheme="minorHAnsi" w:hAnsiTheme="minorHAnsi" w:cstheme="minorHAnsi"/>
        </w:rPr>
        <w:t xml:space="preserve"> października </w:t>
      </w:r>
      <w:r w:rsidRPr="00E3579F">
        <w:rPr>
          <w:rFonts w:asciiTheme="minorHAnsi" w:hAnsiTheme="minorHAnsi" w:cstheme="minorHAnsi"/>
        </w:rPr>
        <w:t>2021 r.</w:t>
      </w:r>
    </w:p>
    <w:p w14:paraId="48A3F189" w14:textId="577BF365" w:rsidR="00B13C7F" w:rsidRPr="00E3579F" w:rsidRDefault="00EB6F30" w:rsidP="00CD0B07">
      <w:pPr>
        <w:spacing w:line="276" w:lineRule="auto"/>
        <w:jc w:val="both"/>
        <w:rPr>
          <w:rFonts w:asciiTheme="minorHAnsi" w:hAnsiTheme="minorHAnsi" w:cstheme="minorHAnsi"/>
        </w:rPr>
      </w:pPr>
      <w:r w:rsidRPr="00E3579F">
        <w:rPr>
          <w:rFonts w:asciiTheme="minorHAnsi" w:hAnsiTheme="minorHAnsi" w:cstheme="minorHAnsi"/>
          <w:b/>
          <w:bCs/>
        </w:rPr>
        <w:t>KZP-271-TP-9/2021</w:t>
      </w:r>
    </w:p>
    <w:p w14:paraId="1CE7F902" w14:textId="77777777" w:rsidR="00EB6F30" w:rsidRPr="00E3579F" w:rsidRDefault="00EB6F30" w:rsidP="00CD0B07">
      <w:pPr>
        <w:spacing w:line="276" w:lineRule="auto"/>
        <w:ind w:left="4251" w:firstLine="705"/>
        <w:jc w:val="both"/>
        <w:rPr>
          <w:rFonts w:asciiTheme="minorHAnsi" w:hAnsiTheme="minorHAnsi" w:cstheme="minorHAnsi"/>
          <w:b/>
          <w:bCs/>
        </w:rPr>
      </w:pPr>
    </w:p>
    <w:p w14:paraId="5475E145" w14:textId="7826025D" w:rsidR="00B13C7F" w:rsidRPr="00E3579F" w:rsidRDefault="00B13C7F" w:rsidP="00CD0B07">
      <w:pPr>
        <w:spacing w:line="276" w:lineRule="auto"/>
        <w:ind w:left="4251" w:firstLine="705"/>
        <w:jc w:val="both"/>
        <w:rPr>
          <w:rFonts w:asciiTheme="minorHAnsi" w:hAnsiTheme="minorHAnsi" w:cstheme="minorHAnsi"/>
          <w:b/>
          <w:bCs/>
        </w:rPr>
      </w:pPr>
      <w:r w:rsidRPr="00E3579F">
        <w:rPr>
          <w:rFonts w:asciiTheme="minorHAnsi" w:hAnsiTheme="minorHAnsi" w:cstheme="minorHAnsi"/>
          <w:b/>
          <w:bCs/>
        </w:rPr>
        <w:t>DO WSZYSTKICH</w:t>
      </w:r>
      <w:r w:rsidR="00EB6F30" w:rsidRPr="00E3579F">
        <w:rPr>
          <w:rFonts w:asciiTheme="minorHAnsi" w:hAnsiTheme="minorHAnsi" w:cstheme="minorHAnsi"/>
          <w:b/>
          <w:bCs/>
        </w:rPr>
        <w:t xml:space="preserve">, KTÓRYCH </w:t>
      </w:r>
      <w:r w:rsidRPr="00E3579F">
        <w:rPr>
          <w:rFonts w:asciiTheme="minorHAnsi" w:hAnsiTheme="minorHAnsi" w:cstheme="minorHAnsi"/>
          <w:b/>
          <w:bCs/>
        </w:rPr>
        <w:t>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00C221AB"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Pr="00E3579F">
        <w:rPr>
          <w:rFonts w:asciiTheme="minorHAnsi" w:hAnsiTheme="minorHAnsi" w:cstheme="minorHAnsi"/>
          <w:b/>
        </w:rPr>
        <w:t xml:space="preserve">Przeprowadzenie badań sprawozdań finansowych </w:t>
      </w:r>
      <w:r w:rsidRPr="00E3579F">
        <w:rPr>
          <w:rFonts w:asciiTheme="minorHAnsi" w:hAnsiTheme="minorHAnsi" w:cstheme="minorHAnsi"/>
          <w:b/>
        </w:rPr>
        <w:br/>
        <w:t xml:space="preserve">za lata 2021, 2022 i 2023 </w:t>
      </w:r>
      <w:r w:rsidRPr="00E3579F">
        <w:rPr>
          <w:rFonts w:asciiTheme="minorHAnsi" w:eastAsia="SimSun" w:hAnsiTheme="minorHAnsi" w:cstheme="minorHAnsi"/>
          <w:kern w:val="2"/>
          <w:lang w:eastAsia="hi-IN" w:bidi="hi-IN"/>
        </w:rPr>
        <w:t>do terminu składania ofert, tj. do dnia 1.</w:t>
      </w:r>
      <w:r w:rsidR="005B0493" w:rsidRPr="00E3579F">
        <w:rPr>
          <w:rFonts w:asciiTheme="minorHAnsi" w:eastAsia="SimSun" w:hAnsiTheme="minorHAnsi" w:cstheme="minorHAnsi"/>
          <w:kern w:val="2"/>
          <w:lang w:eastAsia="hi-IN" w:bidi="hi-IN"/>
        </w:rPr>
        <w:t>1</w:t>
      </w:r>
      <w:r w:rsidRPr="00E3579F">
        <w:rPr>
          <w:rFonts w:asciiTheme="minorHAnsi" w:eastAsia="SimSun" w:hAnsiTheme="minorHAnsi" w:cstheme="minorHAnsi"/>
          <w:kern w:val="2"/>
          <w:lang w:eastAsia="hi-IN" w:bidi="hi-IN"/>
        </w:rPr>
        <w:t>0.2021 r. do godz. 9:00 wpłynęły 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77777777" w:rsidR="009375BD" w:rsidRPr="000D52E1" w:rsidRDefault="009375BD"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273F94" w14:paraId="4E0B1912" w14:textId="77777777" w:rsidTr="00D83ACA">
        <w:trPr>
          <w:trHeight w:val="792"/>
        </w:trPr>
        <w:tc>
          <w:tcPr>
            <w:tcW w:w="534" w:type="pct"/>
            <w:shd w:val="clear" w:color="auto" w:fill="auto"/>
            <w:vAlign w:val="center"/>
            <w:hideMark/>
          </w:tcPr>
          <w:p w14:paraId="3311EFBF" w14:textId="77777777" w:rsidR="009375BD" w:rsidRPr="00273F94" w:rsidRDefault="009375BD" w:rsidP="00D83ACA">
            <w:pPr>
              <w:jc w:val="center"/>
              <w:rPr>
                <w:rFonts w:cs="Calibri"/>
                <w:sz w:val="20"/>
                <w:szCs w:val="20"/>
              </w:rPr>
            </w:pPr>
            <w:r w:rsidRPr="00273F94">
              <w:rPr>
                <w:rFonts w:cs="Calibri"/>
                <w:sz w:val="20"/>
                <w:szCs w:val="20"/>
              </w:rPr>
              <w:t>Lp.</w:t>
            </w:r>
          </w:p>
        </w:tc>
        <w:tc>
          <w:tcPr>
            <w:tcW w:w="2985" w:type="pct"/>
            <w:shd w:val="clear" w:color="auto" w:fill="auto"/>
            <w:vAlign w:val="center"/>
            <w:hideMark/>
          </w:tcPr>
          <w:p w14:paraId="52273479" w14:textId="77777777" w:rsidR="009375BD" w:rsidRPr="00273F94" w:rsidRDefault="009375BD" w:rsidP="00D83ACA">
            <w:pPr>
              <w:jc w:val="center"/>
              <w:rPr>
                <w:rFonts w:cs="Calibri"/>
                <w:sz w:val="20"/>
                <w:szCs w:val="20"/>
              </w:rPr>
            </w:pPr>
            <w:r w:rsidRPr="00273F94">
              <w:rPr>
                <w:rFonts w:cs="Calibri"/>
                <w:sz w:val="20"/>
                <w:szCs w:val="20"/>
              </w:rPr>
              <w:t>Wykonawca</w:t>
            </w:r>
          </w:p>
        </w:tc>
        <w:tc>
          <w:tcPr>
            <w:tcW w:w="1481" w:type="pct"/>
            <w:shd w:val="clear" w:color="auto" w:fill="auto"/>
            <w:vAlign w:val="center"/>
          </w:tcPr>
          <w:p w14:paraId="4514E7BD" w14:textId="77777777" w:rsidR="009375BD" w:rsidRPr="00273F94" w:rsidRDefault="009375BD" w:rsidP="00D83ACA">
            <w:pPr>
              <w:jc w:val="center"/>
              <w:rPr>
                <w:rFonts w:cs="Calibri"/>
                <w:sz w:val="20"/>
                <w:szCs w:val="20"/>
              </w:rPr>
            </w:pPr>
            <w:r w:rsidRPr="00273F94">
              <w:rPr>
                <w:rFonts w:cs="Calibri"/>
                <w:sz w:val="20"/>
                <w:szCs w:val="20"/>
              </w:rPr>
              <w:t>Cena brutto</w:t>
            </w:r>
          </w:p>
        </w:tc>
      </w:tr>
      <w:tr w:rsidR="009375BD" w:rsidRPr="00273F94" w14:paraId="1C3416FE" w14:textId="77777777" w:rsidTr="00D83ACA">
        <w:trPr>
          <w:trHeight w:val="827"/>
        </w:trPr>
        <w:tc>
          <w:tcPr>
            <w:tcW w:w="534" w:type="pct"/>
            <w:shd w:val="clear" w:color="auto" w:fill="auto"/>
            <w:vAlign w:val="center"/>
          </w:tcPr>
          <w:p w14:paraId="1ACDB875" w14:textId="6858E004" w:rsidR="009375BD" w:rsidRPr="00273F94" w:rsidRDefault="00E3579F" w:rsidP="00D83ACA">
            <w:pPr>
              <w:jc w:val="center"/>
              <w:rPr>
                <w:rFonts w:cs="Calibri"/>
                <w:sz w:val="20"/>
                <w:szCs w:val="20"/>
              </w:rPr>
            </w:pPr>
            <w:r w:rsidRPr="00273F94">
              <w:rPr>
                <w:rFonts w:cs="Calibri"/>
                <w:sz w:val="20"/>
                <w:szCs w:val="20"/>
              </w:rPr>
              <w:t>1</w:t>
            </w:r>
          </w:p>
        </w:tc>
        <w:tc>
          <w:tcPr>
            <w:tcW w:w="2985" w:type="pct"/>
            <w:shd w:val="clear" w:color="auto" w:fill="auto"/>
            <w:vAlign w:val="center"/>
          </w:tcPr>
          <w:p w14:paraId="6E9DA40C" w14:textId="01284147" w:rsidR="00D83ACA" w:rsidRPr="00D83ACA" w:rsidRDefault="00D83ACA" w:rsidP="00273F94">
            <w:pPr>
              <w:autoSpaceDE w:val="0"/>
              <w:autoSpaceDN w:val="0"/>
              <w:adjustRightInd w:val="0"/>
              <w:jc w:val="center"/>
              <w:rPr>
                <w:rFonts w:eastAsiaTheme="minorHAnsi" w:cs="Calibri"/>
                <w:color w:val="000000"/>
                <w:sz w:val="20"/>
                <w:szCs w:val="20"/>
              </w:rPr>
            </w:pPr>
            <w:proofErr w:type="spellStart"/>
            <w:r w:rsidRPr="00D83ACA">
              <w:rPr>
                <w:rFonts w:eastAsiaTheme="minorHAnsi" w:cs="Calibri"/>
                <w:color w:val="000000"/>
                <w:sz w:val="20"/>
                <w:szCs w:val="20"/>
              </w:rPr>
              <w:t>Polinvest-Audit</w:t>
            </w:r>
            <w:proofErr w:type="spellEnd"/>
            <w:r w:rsidRPr="00D83ACA">
              <w:rPr>
                <w:rFonts w:eastAsiaTheme="minorHAnsi" w:cs="Calibri"/>
                <w:color w:val="000000"/>
                <w:sz w:val="20"/>
                <w:szCs w:val="20"/>
              </w:rPr>
              <w:t xml:space="preserve"> Sp. z o.o.</w:t>
            </w:r>
          </w:p>
          <w:p w14:paraId="6744211C" w14:textId="77777777" w:rsidR="00130663" w:rsidRPr="00273F94" w:rsidRDefault="00D83ACA" w:rsidP="00273F94">
            <w:pPr>
              <w:jc w:val="center"/>
              <w:rPr>
                <w:rFonts w:eastAsiaTheme="minorHAnsi" w:cs="Calibri"/>
                <w:color w:val="000000"/>
                <w:sz w:val="20"/>
                <w:szCs w:val="20"/>
              </w:rPr>
            </w:pPr>
            <w:r w:rsidRPr="00273F94">
              <w:rPr>
                <w:rFonts w:eastAsiaTheme="minorHAnsi" w:cs="Calibri"/>
                <w:color w:val="000000"/>
                <w:sz w:val="20"/>
                <w:szCs w:val="20"/>
              </w:rPr>
              <w:t>ul. Łukasiewicza 1, 31-429 Kraków</w:t>
            </w:r>
          </w:p>
          <w:p w14:paraId="0908A8F3" w14:textId="3023C4DD" w:rsidR="009375BD" w:rsidRPr="00273F94" w:rsidRDefault="00D83ACA" w:rsidP="00273F94">
            <w:pPr>
              <w:jc w:val="center"/>
              <w:rPr>
                <w:rFonts w:cs="Calibri"/>
                <w:sz w:val="20"/>
                <w:szCs w:val="20"/>
              </w:rPr>
            </w:pPr>
            <w:r w:rsidRPr="00273F94">
              <w:rPr>
                <w:rFonts w:cs="Calibri"/>
                <w:sz w:val="20"/>
                <w:szCs w:val="20"/>
              </w:rPr>
              <w:t>NIP 6762061598</w:t>
            </w:r>
          </w:p>
        </w:tc>
        <w:tc>
          <w:tcPr>
            <w:tcW w:w="1481" w:type="pct"/>
            <w:shd w:val="clear" w:color="auto" w:fill="auto"/>
            <w:vAlign w:val="center"/>
          </w:tcPr>
          <w:p w14:paraId="2C46338B" w14:textId="07E8DA31" w:rsidR="009375BD" w:rsidRPr="00273F94" w:rsidRDefault="00D83ACA" w:rsidP="00273F94">
            <w:pPr>
              <w:autoSpaceDE w:val="0"/>
              <w:autoSpaceDN w:val="0"/>
              <w:adjustRightInd w:val="0"/>
              <w:jc w:val="center"/>
              <w:rPr>
                <w:rFonts w:eastAsiaTheme="minorHAnsi" w:cs="Calibri"/>
                <w:color w:val="000000"/>
                <w:sz w:val="20"/>
                <w:szCs w:val="20"/>
              </w:rPr>
            </w:pPr>
            <w:r w:rsidRPr="00D83ACA">
              <w:rPr>
                <w:rFonts w:eastAsiaTheme="minorHAnsi" w:cs="Calibri"/>
                <w:color w:val="000000"/>
                <w:sz w:val="20"/>
                <w:szCs w:val="20"/>
              </w:rPr>
              <w:t>749 070,00 zł</w:t>
            </w:r>
          </w:p>
        </w:tc>
      </w:tr>
      <w:tr w:rsidR="009375BD" w:rsidRPr="00273F94" w14:paraId="5D88A4A9" w14:textId="77777777" w:rsidTr="00D83ACA">
        <w:trPr>
          <w:trHeight w:val="827"/>
        </w:trPr>
        <w:tc>
          <w:tcPr>
            <w:tcW w:w="534" w:type="pct"/>
            <w:shd w:val="clear" w:color="auto" w:fill="auto"/>
            <w:vAlign w:val="center"/>
          </w:tcPr>
          <w:p w14:paraId="1562CA4B" w14:textId="3496E01B" w:rsidR="009375BD" w:rsidRPr="00273F94" w:rsidRDefault="00E3579F" w:rsidP="00D83ACA">
            <w:pPr>
              <w:jc w:val="center"/>
              <w:rPr>
                <w:rFonts w:cs="Calibri"/>
                <w:sz w:val="20"/>
                <w:szCs w:val="20"/>
              </w:rPr>
            </w:pPr>
            <w:r w:rsidRPr="00273F94">
              <w:rPr>
                <w:rFonts w:cs="Calibri"/>
                <w:sz w:val="20"/>
                <w:szCs w:val="20"/>
              </w:rPr>
              <w:t>2</w:t>
            </w:r>
          </w:p>
        </w:tc>
        <w:tc>
          <w:tcPr>
            <w:tcW w:w="2985" w:type="pct"/>
            <w:shd w:val="clear" w:color="auto" w:fill="auto"/>
            <w:vAlign w:val="center"/>
          </w:tcPr>
          <w:p w14:paraId="41BAAF35" w14:textId="0B074EEC" w:rsidR="00273F94" w:rsidRPr="00273F94" w:rsidRDefault="00273F94" w:rsidP="00273F94">
            <w:pPr>
              <w:autoSpaceDE w:val="0"/>
              <w:autoSpaceDN w:val="0"/>
              <w:adjustRightInd w:val="0"/>
              <w:jc w:val="center"/>
              <w:rPr>
                <w:rFonts w:eastAsiaTheme="minorHAnsi" w:cs="Calibri"/>
                <w:color w:val="000000"/>
                <w:sz w:val="20"/>
                <w:szCs w:val="20"/>
              </w:rPr>
            </w:pPr>
            <w:r w:rsidRPr="00273F94">
              <w:rPr>
                <w:rFonts w:eastAsiaTheme="minorHAnsi" w:cs="Calibri"/>
                <w:color w:val="000000"/>
                <w:sz w:val="20"/>
                <w:szCs w:val="20"/>
              </w:rPr>
              <w:t>KPW Audytor Sp. z o.o.</w:t>
            </w:r>
          </w:p>
          <w:p w14:paraId="73049428" w14:textId="31E04CA3" w:rsidR="009375BD" w:rsidRPr="00273F94" w:rsidRDefault="00273F94" w:rsidP="00273F94">
            <w:pPr>
              <w:jc w:val="center"/>
              <w:rPr>
                <w:rFonts w:cs="Calibri"/>
                <w:sz w:val="20"/>
                <w:szCs w:val="20"/>
              </w:rPr>
            </w:pPr>
            <w:r w:rsidRPr="00273F94">
              <w:rPr>
                <w:rFonts w:eastAsiaTheme="minorHAnsi" w:cs="Calibri"/>
                <w:color w:val="000000"/>
                <w:sz w:val="20"/>
                <w:szCs w:val="20"/>
              </w:rPr>
              <w:t>ul. Tymienieckiego 25C/410, 90-350 Łódź</w:t>
            </w:r>
            <w:r w:rsidR="00D83ACA" w:rsidRPr="00273F94">
              <w:rPr>
                <w:rFonts w:cs="Calibri"/>
                <w:sz w:val="20"/>
                <w:szCs w:val="20"/>
              </w:rPr>
              <w:br/>
              <w:t>NIP 7272767073</w:t>
            </w:r>
          </w:p>
        </w:tc>
        <w:tc>
          <w:tcPr>
            <w:tcW w:w="1481" w:type="pct"/>
            <w:shd w:val="clear" w:color="auto" w:fill="auto"/>
            <w:vAlign w:val="center"/>
          </w:tcPr>
          <w:p w14:paraId="11B4BB78" w14:textId="0BBEFD8E" w:rsidR="009375BD" w:rsidRPr="00273F94" w:rsidRDefault="00273F94" w:rsidP="00273F94">
            <w:pPr>
              <w:autoSpaceDE w:val="0"/>
              <w:autoSpaceDN w:val="0"/>
              <w:adjustRightInd w:val="0"/>
              <w:jc w:val="center"/>
              <w:rPr>
                <w:rFonts w:eastAsiaTheme="minorHAnsi" w:cs="Calibri"/>
                <w:color w:val="000000"/>
                <w:sz w:val="20"/>
                <w:szCs w:val="20"/>
              </w:rPr>
            </w:pPr>
            <w:r w:rsidRPr="00273F94">
              <w:rPr>
                <w:rFonts w:eastAsiaTheme="minorHAnsi" w:cs="Calibri"/>
                <w:color w:val="000000"/>
                <w:sz w:val="20"/>
                <w:szCs w:val="20"/>
              </w:rPr>
              <w:t>145</w:t>
            </w:r>
            <w:r>
              <w:rPr>
                <w:rFonts w:eastAsiaTheme="minorHAnsi" w:cs="Calibri"/>
                <w:color w:val="000000"/>
                <w:sz w:val="20"/>
                <w:szCs w:val="20"/>
              </w:rPr>
              <w:t> </w:t>
            </w:r>
            <w:r w:rsidRPr="00273F94">
              <w:rPr>
                <w:rFonts w:eastAsiaTheme="minorHAnsi" w:cs="Calibri"/>
                <w:color w:val="000000"/>
                <w:sz w:val="20"/>
                <w:szCs w:val="20"/>
              </w:rPr>
              <w:t>054</w:t>
            </w:r>
            <w:r>
              <w:rPr>
                <w:rFonts w:eastAsiaTheme="minorHAnsi" w:cs="Calibri"/>
                <w:color w:val="000000"/>
                <w:sz w:val="20"/>
                <w:szCs w:val="20"/>
              </w:rPr>
              <w:t>,00</w:t>
            </w:r>
            <w:r w:rsidRPr="00273F94">
              <w:rPr>
                <w:rFonts w:eastAsiaTheme="minorHAnsi" w:cs="Calibri"/>
                <w:color w:val="000000"/>
                <w:sz w:val="20"/>
                <w:szCs w:val="20"/>
              </w:rPr>
              <w:t xml:space="preserve"> zł</w:t>
            </w:r>
          </w:p>
        </w:tc>
      </w:tr>
      <w:tr w:rsidR="009375BD" w:rsidRPr="00273F94" w14:paraId="15152599" w14:textId="77777777" w:rsidTr="00D83ACA">
        <w:trPr>
          <w:trHeight w:val="827"/>
        </w:trPr>
        <w:tc>
          <w:tcPr>
            <w:tcW w:w="534" w:type="pct"/>
            <w:shd w:val="clear" w:color="auto" w:fill="auto"/>
            <w:vAlign w:val="center"/>
          </w:tcPr>
          <w:p w14:paraId="5E21DED4" w14:textId="1B203FCE" w:rsidR="009375BD" w:rsidRPr="00273F94" w:rsidRDefault="00E3579F" w:rsidP="00D83ACA">
            <w:pPr>
              <w:jc w:val="center"/>
              <w:rPr>
                <w:rFonts w:cs="Calibri"/>
                <w:sz w:val="20"/>
                <w:szCs w:val="20"/>
              </w:rPr>
            </w:pPr>
            <w:r w:rsidRPr="00273F94">
              <w:rPr>
                <w:rFonts w:cs="Calibri"/>
                <w:sz w:val="20"/>
                <w:szCs w:val="20"/>
              </w:rPr>
              <w:t>3</w:t>
            </w:r>
          </w:p>
        </w:tc>
        <w:tc>
          <w:tcPr>
            <w:tcW w:w="2985" w:type="pct"/>
            <w:shd w:val="clear" w:color="auto" w:fill="auto"/>
            <w:vAlign w:val="center"/>
          </w:tcPr>
          <w:p w14:paraId="3700A1DE" w14:textId="53516A8E" w:rsidR="009375BD" w:rsidRPr="00273F94" w:rsidRDefault="00130663" w:rsidP="00273F94">
            <w:pPr>
              <w:jc w:val="center"/>
              <w:rPr>
                <w:rFonts w:cs="Calibri"/>
                <w:sz w:val="20"/>
                <w:szCs w:val="20"/>
              </w:rPr>
            </w:pPr>
            <w:r w:rsidRPr="00273F94">
              <w:rPr>
                <w:rFonts w:cs="Calibri"/>
                <w:sz w:val="20"/>
                <w:szCs w:val="20"/>
              </w:rPr>
              <w:t xml:space="preserve">Grupa </w:t>
            </w:r>
            <w:proofErr w:type="spellStart"/>
            <w:r w:rsidRPr="00273F94">
              <w:rPr>
                <w:rFonts w:cs="Calibri"/>
                <w:sz w:val="20"/>
                <w:szCs w:val="20"/>
              </w:rPr>
              <w:t>Gumułka</w:t>
            </w:r>
            <w:proofErr w:type="spellEnd"/>
            <w:r w:rsidRPr="00273F94">
              <w:rPr>
                <w:rFonts w:cs="Calibri"/>
                <w:sz w:val="20"/>
                <w:szCs w:val="20"/>
              </w:rPr>
              <w:t xml:space="preserve"> - Audyt Spółka Z Ograniczoną Odpowiedzialnością Spółka Komandytowa</w:t>
            </w:r>
            <w:r w:rsidR="00D83ACA" w:rsidRPr="00273F94">
              <w:rPr>
                <w:rFonts w:cs="Calibri"/>
                <w:sz w:val="20"/>
                <w:szCs w:val="20"/>
              </w:rPr>
              <w:br/>
              <w:t>ul. Jana Matejki 4</w:t>
            </w:r>
            <w:r w:rsidRPr="00273F94">
              <w:rPr>
                <w:rFonts w:cs="Calibri"/>
                <w:sz w:val="20"/>
                <w:szCs w:val="20"/>
              </w:rPr>
              <w:t xml:space="preserve">, </w:t>
            </w:r>
            <w:r w:rsidRPr="00273F94">
              <w:rPr>
                <w:rFonts w:cs="Calibri"/>
                <w:sz w:val="20"/>
                <w:szCs w:val="20"/>
              </w:rPr>
              <w:t>40-077 Katowice</w:t>
            </w:r>
            <w:r w:rsidR="00D83ACA" w:rsidRPr="00273F94">
              <w:rPr>
                <w:rFonts w:cs="Calibri"/>
                <w:sz w:val="20"/>
                <w:szCs w:val="20"/>
              </w:rPr>
              <w:br/>
              <w:t>NIP 6342831612</w:t>
            </w:r>
          </w:p>
        </w:tc>
        <w:tc>
          <w:tcPr>
            <w:tcW w:w="1481" w:type="pct"/>
            <w:shd w:val="clear" w:color="auto" w:fill="auto"/>
            <w:vAlign w:val="center"/>
          </w:tcPr>
          <w:p w14:paraId="2E4E8370" w14:textId="258E67A4" w:rsidR="009375BD" w:rsidRPr="00273F94" w:rsidRDefault="00130663" w:rsidP="00273F94">
            <w:pPr>
              <w:jc w:val="center"/>
              <w:rPr>
                <w:rFonts w:cs="Calibri"/>
                <w:sz w:val="20"/>
                <w:szCs w:val="20"/>
              </w:rPr>
            </w:pPr>
            <w:r w:rsidRPr="00273F94">
              <w:rPr>
                <w:rFonts w:eastAsiaTheme="minorHAnsi" w:cs="Calibri"/>
                <w:sz w:val="20"/>
                <w:szCs w:val="20"/>
              </w:rPr>
              <w:t>833 448,00 zł</w:t>
            </w:r>
          </w:p>
        </w:tc>
      </w:tr>
      <w:tr w:rsidR="009375BD" w:rsidRPr="00273F94" w14:paraId="0D36AD59" w14:textId="77777777" w:rsidTr="00D83ACA">
        <w:trPr>
          <w:trHeight w:val="827"/>
        </w:trPr>
        <w:tc>
          <w:tcPr>
            <w:tcW w:w="534" w:type="pct"/>
            <w:shd w:val="clear" w:color="auto" w:fill="auto"/>
            <w:vAlign w:val="center"/>
          </w:tcPr>
          <w:p w14:paraId="6750241D" w14:textId="3F3C8D10" w:rsidR="009375BD" w:rsidRPr="00273F94" w:rsidRDefault="00E3579F" w:rsidP="00D83ACA">
            <w:pPr>
              <w:jc w:val="center"/>
              <w:rPr>
                <w:rFonts w:cs="Calibri"/>
                <w:sz w:val="20"/>
                <w:szCs w:val="20"/>
              </w:rPr>
            </w:pPr>
            <w:r w:rsidRPr="00273F94">
              <w:rPr>
                <w:rFonts w:cs="Calibri"/>
                <w:sz w:val="20"/>
                <w:szCs w:val="20"/>
              </w:rPr>
              <w:t>4</w:t>
            </w:r>
          </w:p>
        </w:tc>
        <w:tc>
          <w:tcPr>
            <w:tcW w:w="2985" w:type="pct"/>
            <w:shd w:val="clear" w:color="auto" w:fill="auto"/>
            <w:vAlign w:val="center"/>
          </w:tcPr>
          <w:p w14:paraId="08F1EC0C" w14:textId="2A8F9E19" w:rsidR="00273F94" w:rsidRPr="00273F94" w:rsidRDefault="00273F94" w:rsidP="00273F94">
            <w:pPr>
              <w:autoSpaceDE w:val="0"/>
              <w:autoSpaceDN w:val="0"/>
              <w:adjustRightInd w:val="0"/>
              <w:jc w:val="center"/>
              <w:rPr>
                <w:rFonts w:eastAsiaTheme="minorHAnsi" w:cs="Calibri"/>
                <w:color w:val="000000"/>
                <w:sz w:val="20"/>
                <w:szCs w:val="20"/>
              </w:rPr>
            </w:pPr>
            <w:r w:rsidRPr="00273F94">
              <w:rPr>
                <w:rFonts w:eastAsiaTheme="minorHAnsi" w:cs="Calibri"/>
                <w:color w:val="000000"/>
                <w:sz w:val="20"/>
                <w:szCs w:val="20"/>
              </w:rPr>
              <w:t>POL-TAX 2 Sp. z o.o., ul. Bora Komorowskiego 56c lok. 91,</w:t>
            </w:r>
          </w:p>
          <w:p w14:paraId="1A0DCEC3" w14:textId="43F9334B" w:rsidR="009375BD" w:rsidRPr="00273F94" w:rsidRDefault="00273F94" w:rsidP="00273F94">
            <w:pPr>
              <w:jc w:val="center"/>
              <w:rPr>
                <w:rFonts w:cs="Calibri"/>
                <w:sz w:val="20"/>
                <w:szCs w:val="20"/>
              </w:rPr>
            </w:pPr>
            <w:r w:rsidRPr="00273F94">
              <w:rPr>
                <w:rFonts w:eastAsiaTheme="minorHAnsi" w:cs="Calibri"/>
                <w:color w:val="000000"/>
                <w:sz w:val="20"/>
                <w:szCs w:val="20"/>
              </w:rPr>
              <w:t xml:space="preserve">03-982 Warszawa </w:t>
            </w:r>
            <w:r w:rsidR="00D83ACA" w:rsidRPr="00273F94">
              <w:rPr>
                <w:rFonts w:cs="Calibri"/>
                <w:sz w:val="20"/>
                <w:szCs w:val="20"/>
              </w:rPr>
              <w:t>NIP 1132914298</w:t>
            </w:r>
          </w:p>
        </w:tc>
        <w:tc>
          <w:tcPr>
            <w:tcW w:w="1481" w:type="pct"/>
            <w:shd w:val="clear" w:color="auto" w:fill="auto"/>
            <w:vAlign w:val="center"/>
          </w:tcPr>
          <w:p w14:paraId="1EC1D5E0" w14:textId="62B0E79E" w:rsidR="009375BD" w:rsidRPr="00273F94" w:rsidRDefault="00273F94" w:rsidP="00273F94">
            <w:pPr>
              <w:autoSpaceDE w:val="0"/>
              <w:autoSpaceDN w:val="0"/>
              <w:adjustRightInd w:val="0"/>
              <w:jc w:val="center"/>
              <w:rPr>
                <w:rFonts w:eastAsiaTheme="minorHAnsi" w:cs="Calibri"/>
                <w:color w:val="000000"/>
                <w:sz w:val="20"/>
                <w:szCs w:val="20"/>
              </w:rPr>
            </w:pPr>
            <w:r w:rsidRPr="00273F94">
              <w:rPr>
                <w:rFonts w:eastAsiaTheme="minorHAnsi" w:cs="Calibri"/>
                <w:color w:val="000000"/>
                <w:sz w:val="20"/>
                <w:szCs w:val="20"/>
              </w:rPr>
              <w:t>895 440,00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0ED7EDE2" w14:textId="77777777" w:rsidR="00EB6F30" w:rsidRPr="00E36792" w:rsidRDefault="00EB6F30" w:rsidP="00EB6F30">
          <w:pPr>
            <w:pStyle w:val="Stopka"/>
            <w:jc w:val="right"/>
            <w:rPr>
              <w:rFonts w:ascii="Arial" w:hAnsi="Arial" w:cs="Arial"/>
              <w:color w:val="004170"/>
              <w:sz w:val="12"/>
              <w:szCs w:val="12"/>
            </w:rPr>
          </w:pPr>
          <w:r w:rsidRPr="00E36792">
            <w:rPr>
              <w:rFonts w:ascii="Arial" w:hAnsi="Arial" w:cs="Arial"/>
              <w:color w:val="004170"/>
              <w:sz w:val="12"/>
              <w:szCs w:val="12"/>
            </w:rPr>
            <w:t>Numer</w:t>
          </w:r>
          <w:r>
            <w:rPr>
              <w:rFonts w:ascii="Arial" w:hAnsi="Arial" w:cs="Arial"/>
              <w:color w:val="004170"/>
              <w:sz w:val="12"/>
              <w:szCs w:val="12"/>
            </w:rPr>
            <w:t>y</w:t>
          </w:r>
          <w:r w:rsidRPr="00E36792">
            <w:rPr>
              <w:rFonts w:ascii="Arial" w:hAnsi="Arial" w:cs="Arial"/>
              <w:color w:val="004170"/>
              <w:sz w:val="12"/>
              <w:szCs w:val="12"/>
            </w:rPr>
            <w:t xml:space="preserve"> rachunk</w:t>
          </w:r>
          <w:r>
            <w:rPr>
              <w:rFonts w:ascii="Arial" w:hAnsi="Arial" w:cs="Arial"/>
              <w:color w:val="004170"/>
              <w:sz w:val="12"/>
              <w:szCs w:val="12"/>
            </w:rPr>
            <w:t>ów</w:t>
          </w:r>
          <w:r w:rsidRPr="00E36792">
            <w:rPr>
              <w:rFonts w:ascii="Arial" w:hAnsi="Arial" w:cs="Arial"/>
              <w:color w:val="004170"/>
              <w:sz w:val="12"/>
              <w:szCs w:val="12"/>
            </w:rPr>
            <w:t xml:space="preserve"> bankow</w:t>
          </w:r>
          <w:r>
            <w:rPr>
              <w:rFonts w:ascii="Arial" w:hAnsi="Arial" w:cs="Arial"/>
              <w:color w:val="004170"/>
              <w:sz w:val="12"/>
              <w:szCs w:val="12"/>
            </w:rPr>
            <w:t>ych</w:t>
          </w:r>
          <w:r w:rsidRPr="00E36792">
            <w:rPr>
              <w:rFonts w:ascii="Arial" w:hAnsi="Arial" w:cs="Arial"/>
              <w:color w:val="004170"/>
              <w:sz w:val="12"/>
              <w:szCs w:val="12"/>
            </w:rPr>
            <w:t>:</w:t>
          </w:r>
          <w:r>
            <w:t xml:space="preserve"> </w:t>
          </w:r>
          <w:r w:rsidRPr="007E1132">
            <w:rPr>
              <w:rFonts w:ascii="Arial" w:hAnsi="Arial" w:cs="Arial"/>
              <w:color w:val="004170"/>
              <w:sz w:val="12"/>
              <w:szCs w:val="12"/>
            </w:rPr>
            <w:t>93 1090 2053 0000 0001 4761 7990</w:t>
          </w:r>
        </w:p>
        <w:p w14:paraId="0CCDA15D" w14:textId="77777777" w:rsidR="00EB6F30" w:rsidRDefault="00EB6F30" w:rsidP="00EB6F30">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4A4EECBF"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w:t>
          </w:r>
          <w:r w:rsidR="00EB6F30">
            <w:rPr>
              <w:rFonts w:ascii="Arial" w:hAnsi="Arial" w:cs="Arial"/>
              <w:color w:val="004170"/>
              <w:sz w:val="12"/>
              <w:szCs w:val="12"/>
            </w:rPr>
            <w:t>99</w:t>
          </w:r>
          <w:r>
            <w:rPr>
              <w:rFonts w:ascii="Arial" w:hAnsi="Arial" w:cs="Arial"/>
              <w:color w:val="004170"/>
              <w:sz w:val="12"/>
              <w:szCs w:val="12"/>
            </w:rPr>
            <w:t>0.000,00 zł, kapitał wpłacony: 1.297.</w:t>
          </w:r>
          <w:r w:rsidR="00EB6F30">
            <w:rPr>
              <w:rFonts w:ascii="Arial" w:hAnsi="Arial" w:cs="Arial"/>
              <w:color w:val="004170"/>
              <w:sz w:val="12"/>
              <w:szCs w:val="12"/>
            </w:rPr>
            <w:t>99</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127</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9</cp:revision>
  <cp:lastPrinted>2021-04-30T09:29:00Z</cp:lastPrinted>
  <dcterms:created xsi:type="dcterms:W3CDTF">2021-08-03T11:53:00Z</dcterms:created>
  <dcterms:modified xsi:type="dcterms:W3CDTF">2021-10-01T07:28:00Z</dcterms:modified>
</cp:coreProperties>
</file>