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 w:rsidR="007721AF"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br/>
        <w:t>z postępowaniem o udzielenie zamówienia publicznego</w:t>
      </w:r>
    </w:p>
    <w:p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br/>
        <w:t>w nagłówku</w:t>
      </w:r>
      <w:bookmarkStart w:id="0" w:name="_GoBack"/>
      <w:bookmarkEnd w:id="0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”;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przez okres 4 lat od dnia zakończenia postępowania o udzielenie zamówienia;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zautomatyzowane przetwarzanie, w tym profilowanie (stosownie do art. 22 RODO);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, a także nie może naruszać integralności protokołu oraz jego załączników;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  <w:lang w:eastAsia="pl-PL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związku z art. 17 ust. 3 lit. b, d lub e RODO prawo do usunięcia danych osobowych;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przenoszenia danych osobowych, o którym mowa w art. 20 RODO; </w:t>
      </w:r>
    </w:p>
    <w:p w:rsidR="00BA57F0" w:rsidRPr="000379AA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0379AA" w:rsidSect="00B03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AA" w:rsidRDefault="000379AA" w:rsidP="000379AA">
    <w:pPr>
      <w:pStyle w:val="Nagwek"/>
      <w:jc w:val="center"/>
    </w:pPr>
    <w:r w:rsidRPr="000379AA">
      <w:drawing>
        <wp:inline distT="0" distB="0" distL="0" distR="0">
          <wp:extent cx="2700296" cy="541629"/>
          <wp:effectExtent l="19050" t="0" r="4804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59" cy="54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>Nr sprawy: 4/AMB/2021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76C42"/>
    <w:rsid w:val="000379AA"/>
    <w:rsid w:val="001C2906"/>
    <w:rsid w:val="00464FE6"/>
    <w:rsid w:val="00551CC2"/>
    <w:rsid w:val="007721AF"/>
    <w:rsid w:val="00976C42"/>
    <w:rsid w:val="00B03423"/>
    <w:rsid w:val="00BA57F0"/>
    <w:rsid w:val="00C3447E"/>
    <w:rsid w:val="00C95E3B"/>
    <w:rsid w:val="00F9165D"/>
    <w:rsid w:val="00F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semiHidden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5AB4-8045-44E9-8852-CC9F33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</cp:revision>
  <dcterms:created xsi:type="dcterms:W3CDTF">2021-05-06T11:11:00Z</dcterms:created>
  <dcterms:modified xsi:type="dcterms:W3CDTF">2021-05-06T11:11:00Z</dcterms:modified>
</cp:coreProperties>
</file>