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BA0590">
        <w:rPr>
          <w:sz w:val="20"/>
          <w:szCs w:val="20"/>
        </w:rPr>
        <w:t>2022-</w:t>
      </w:r>
      <w:r w:rsidR="001434D3">
        <w:rPr>
          <w:sz w:val="20"/>
          <w:szCs w:val="20"/>
        </w:rPr>
        <w:t>08-31</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1434D3">
        <w:rPr>
          <w:color w:val="000000" w:themeColor="text1"/>
          <w:sz w:val="20"/>
          <w:szCs w:val="20"/>
        </w:rPr>
        <w:t>11</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F249F6">
        <w:rPr>
          <w:sz w:val="20"/>
          <w:szCs w:val="20"/>
        </w:rPr>
        <w:t>ówień publicznych (Dz. U. z 2021 r. poz. 1129</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37403C">
        <w:rPr>
          <w:b/>
          <w:color w:val="000000" w:themeColor="text1"/>
          <w:sz w:val="20"/>
          <w:szCs w:val="20"/>
        </w:rPr>
        <w:t xml:space="preserve">Przebudowa drogi gminnej </w:t>
      </w:r>
      <w:r w:rsidR="001434D3">
        <w:rPr>
          <w:b/>
          <w:color w:val="000000" w:themeColor="text1"/>
          <w:sz w:val="20"/>
          <w:szCs w:val="20"/>
        </w:rPr>
        <w:t>nr 782538P w m. Bieganin – działka nr 74”</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37403C">
        <w:rPr>
          <w:sz w:val="20"/>
          <w:szCs w:val="20"/>
        </w:rPr>
        <w:t>2-08</w:t>
      </w:r>
      <w:r w:rsidR="00BA0590" w:rsidRPr="008A31DD">
        <w:rPr>
          <w:sz w:val="20"/>
          <w:szCs w:val="20"/>
        </w:rPr>
        <w:t>-</w:t>
      </w:r>
      <w:r w:rsidR="001434D3">
        <w:rPr>
          <w:sz w:val="20"/>
          <w:szCs w:val="20"/>
        </w:rPr>
        <w:t>31</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37403C" w:rsidRDefault="0037403C" w:rsidP="00F7703D">
      <w:pPr>
        <w:jc w:val="right"/>
      </w:pPr>
    </w:p>
    <w:p w:rsidR="0037403C" w:rsidRDefault="0037403C" w:rsidP="00F7703D">
      <w:pPr>
        <w:jc w:val="right"/>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242F5B">
              <w:rPr>
                <w:noProof/>
                <w:webHidden/>
              </w:rPr>
              <w:t>3</w:t>
            </w:r>
            <w:r>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242F5B">
              <w:rPr>
                <w:noProof/>
                <w:webHidden/>
              </w:rPr>
              <w:t>3</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242F5B">
              <w:rPr>
                <w:noProof/>
                <w:webHidden/>
              </w:rPr>
              <w:t>4</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242F5B">
              <w:rPr>
                <w:noProof/>
                <w:webHidden/>
              </w:rPr>
              <w:t>6</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242F5B">
              <w:rPr>
                <w:noProof/>
                <w:webHidden/>
              </w:rPr>
              <w:t>8</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242F5B">
              <w:rPr>
                <w:noProof/>
                <w:webHidden/>
              </w:rPr>
              <w:t>8</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242F5B">
              <w:rPr>
                <w:noProof/>
                <w:webHidden/>
              </w:rPr>
              <w:t>8</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242F5B">
              <w:rPr>
                <w:noProof/>
                <w:webHidden/>
              </w:rPr>
              <w:t>8</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242F5B">
              <w:rPr>
                <w:noProof/>
                <w:webHidden/>
              </w:rPr>
              <w:t>10</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242F5B">
              <w:rPr>
                <w:noProof/>
                <w:webHidden/>
              </w:rPr>
              <w:t>11</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242F5B">
              <w:rPr>
                <w:noProof/>
                <w:webHidden/>
              </w:rPr>
              <w:t>12</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242F5B">
              <w:rPr>
                <w:noProof/>
                <w:webHidden/>
              </w:rPr>
              <w:t>13</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242F5B">
              <w:rPr>
                <w:noProof/>
                <w:webHidden/>
              </w:rPr>
              <w:t>14</w:t>
            </w:r>
            <w:r w:rsidR="002C0D6C">
              <w:rPr>
                <w:noProof/>
                <w:webHidden/>
              </w:rPr>
              <w:fldChar w:fldCharType="end"/>
            </w:r>
          </w:hyperlink>
        </w:p>
        <w:p w:rsidR="00B229FA" w:rsidRDefault="00613D64"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242F5B">
              <w:rPr>
                <w:noProof/>
                <w:webHidden/>
              </w:rPr>
              <w:t>15</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242F5B">
              <w:rPr>
                <w:noProof/>
                <w:webHidden/>
              </w:rPr>
              <w:t>19</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242F5B">
              <w:rPr>
                <w:noProof/>
                <w:webHidden/>
              </w:rPr>
              <w:t>20</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242F5B">
              <w:rPr>
                <w:noProof/>
                <w:webHidden/>
              </w:rPr>
              <w:t>21</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242F5B">
              <w:rPr>
                <w:noProof/>
                <w:webHidden/>
              </w:rPr>
              <w:t>21</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242F5B">
              <w:rPr>
                <w:noProof/>
                <w:webHidden/>
              </w:rPr>
              <w:t>22</w:t>
            </w:r>
            <w:r w:rsidR="002C0D6C">
              <w:rPr>
                <w:noProof/>
                <w:webHidden/>
              </w:rPr>
              <w:fldChar w:fldCharType="end"/>
            </w:r>
          </w:hyperlink>
        </w:p>
        <w:p w:rsidR="00B229FA" w:rsidRPr="00DB53C6" w:rsidRDefault="00613D64"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242F5B">
              <w:rPr>
                <w:noProof/>
                <w:webHidden/>
              </w:rPr>
              <w:t>22</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242F5B">
              <w:rPr>
                <w:noProof/>
                <w:webHidden/>
              </w:rPr>
              <w:t>23</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242F5B">
              <w:rPr>
                <w:noProof/>
                <w:webHidden/>
              </w:rPr>
              <w:t>24</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242F5B">
              <w:rPr>
                <w:noProof/>
                <w:webHidden/>
              </w:rPr>
              <w:t>25</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242F5B">
              <w:rPr>
                <w:noProof/>
                <w:webHidden/>
              </w:rPr>
              <w:t>25</w:t>
            </w:r>
            <w:r w:rsidR="002C0D6C">
              <w:rPr>
                <w:noProof/>
                <w:webHidden/>
              </w:rPr>
              <w:fldChar w:fldCharType="end"/>
            </w:r>
          </w:hyperlink>
        </w:p>
        <w:p w:rsidR="00B229FA" w:rsidRDefault="00613D64">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242F5B">
              <w:rPr>
                <w:noProof/>
                <w:webHidden/>
              </w:rPr>
              <w:t>26</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 xml:space="preserve">Przebudowa drogi gminnej </w:t>
      </w:r>
      <w:r w:rsidR="001434D3">
        <w:rPr>
          <w:sz w:val="20"/>
          <w:szCs w:val="20"/>
        </w:rPr>
        <w:t>nr 782538P w m. Bieganin – działka nr 74”</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w:t>
      </w:r>
      <w:r w:rsidR="00801C4E">
        <w:rPr>
          <w:sz w:val="20"/>
          <w:szCs w:val="20"/>
        </w:rPr>
        <w:t>„</w:t>
      </w:r>
      <w:r w:rsidR="00057133">
        <w:rPr>
          <w:sz w:val="20"/>
          <w:szCs w:val="20"/>
        </w:rPr>
        <w:t xml:space="preserve">Przebudowa </w:t>
      </w:r>
      <w:r w:rsidR="00801C4E">
        <w:rPr>
          <w:sz w:val="20"/>
          <w:szCs w:val="20"/>
        </w:rPr>
        <w:t>drogi gminne</w:t>
      </w:r>
      <w:r w:rsidR="001434D3">
        <w:rPr>
          <w:sz w:val="20"/>
          <w:szCs w:val="20"/>
        </w:rPr>
        <w:t>j nr 782538P w m. Bieganin – dz. nr 74”</w:t>
      </w:r>
    </w:p>
    <w:p w:rsidR="00801C4E" w:rsidRDefault="00801C4E" w:rsidP="00801C4E">
      <w:pPr>
        <w:pStyle w:val="Akapitzlist"/>
        <w:numPr>
          <w:ilvl w:val="0"/>
          <w:numId w:val="1"/>
        </w:numPr>
        <w:spacing w:after="240" w:line="360" w:lineRule="auto"/>
        <w:jc w:val="both"/>
        <w:rPr>
          <w:b/>
          <w:iCs/>
          <w:sz w:val="20"/>
          <w:szCs w:val="20"/>
          <w:u w:val="single"/>
        </w:rPr>
      </w:pPr>
      <w:r w:rsidRPr="00801C4E">
        <w:rPr>
          <w:b/>
          <w:iCs/>
          <w:sz w:val="20"/>
          <w:szCs w:val="20"/>
          <w:u w:val="single"/>
        </w:rPr>
        <w:t xml:space="preserve">Szczegółowy opis przedmiotu zamówienia: </w:t>
      </w:r>
    </w:p>
    <w:p w:rsidR="00801C4E" w:rsidRDefault="001434D3" w:rsidP="00801C4E">
      <w:pPr>
        <w:pStyle w:val="Akapitzlist"/>
        <w:spacing w:after="240" w:line="360" w:lineRule="auto"/>
        <w:ind w:left="595"/>
        <w:jc w:val="both"/>
        <w:rPr>
          <w:iCs/>
          <w:sz w:val="20"/>
          <w:szCs w:val="20"/>
        </w:rPr>
      </w:pPr>
      <w:r>
        <w:rPr>
          <w:iCs/>
          <w:sz w:val="20"/>
          <w:szCs w:val="20"/>
        </w:rPr>
        <w:t>Długość odcinka: 220,00</w:t>
      </w:r>
      <w:r w:rsidR="00801C4E">
        <w:rPr>
          <w:iCs/>
          <w:sz w:val="20"/>
          <w:szCs w:val="20"/>
        </w:rPr>
        <w:t xml:space="preserve"> </w:t>
      </w:r>
      <w:proofErr w:type="spellStart"/>
      <w:r w:rsidR="00801C4E">
        <w:rPr>
          <w:iCs/>
          <w:sz w:val="20"/>
          <w:szCs w:val="20"/>
        </w:rPr>
        <w:t>mb</w:t>
      </w:r>
      <w:proofErr w:type="spellEnd"/>
    </w:p>
    <w:p w:rsidR="00801C4E" w:rsidRDefault="001434D3" w:rsidP="00801C4E">
      <w:pPr>
        <w:pStyle w:val="Akapitzlist"/>
        <w:spacing w:after="240" w:line="360" w:lineRule="auto"/>
        <w:ind w:left="595"/>
        <w:jc w:val="both"/>
        <w:rPr>
          <w:iCs/>
          <w:sz w:val="20"/>
          <w:szCs w:val="20"/>
        </w:rPr>
      </w:pPr>
      <w:r>
        <w:rPr>
          <w:iCs/>
          <w:sz w:val="20"/>
          <w:szCs w:val="20"/>
        </w:rPr>
        <w:t>Szerokość: 4,50</w:t>
      </w:r>
      <w:r w:rsidR="00801C4E">
        <w:rPr>
          <w:iCs/>
          <w:sz w:val="20"/>
          <w:szCs w:val="20"/>
        </w:rPr>
        <w:t xml:space="preserve"> m</w:t>
      </w:r>
    </w:p>
    <w:p w:rsidR="00801C4E" w:rsidRDefault="00801C4E" w:rsidP="00801C4E">
      <w:pPr>
        <w:pStyle w:val="Akapitzlist"/>
        <w:spacing w:after="240" w:line="360" w:lineRule="auto"/>
        <w:ind w:left="595"/>
        <w:jc w:val="both"/>
        <w:rPr>
          <w:iCs/>
          <w:sz w:val="20"/>
          <w:szCs w:val="20"/>
        </w:rPr>
      </w:pPr>
      <w:r>
        <w:rPr>
          <w:iCs/>
          <w:sz w:val="20"/>
          <w:szCs w:val="20"/>
        </w:rPr>
        <w:t>Szerokość poboczy: 0,50 m</w:t>
      </w:r>
    </w:p>
    <w:p w:rsidR="00132EF4" w:rsidRPr="00132EF4" w:rsidRDefault="00132EF4" w:rsidP="00132EF4">
      <w:pPr>
        <w:pStyle w:val="Akapitzlist"/>
        <w:spacing w:after="240" w:line="360" w:lineRule="auto"/>
        <w:ind w:left="595"/>
        <w:jc w:val="both"/>
        <w:rPr>
          <w:iCs/>
          <w:sz w:val="20"/>
          <w:szCs w:val="20"/>
          <w:u w:val="single"/>
        </w:rPr>
      </w:pPr>
      <w:r w:rsidRPr="00132EF4">
        <w:rPr>
          <w:iCs/>
          <w:sz w:val="20"/>
          <w:szCs w:val="20"/>
          <w:u w:val="single"/>
        </w:rPr>
        <w:t xml:space="preserve">Zakres prac: </w:t>
      </w:r>
    </w:p>
    <w:p w:rsidR="00132EF4" w:rsidRDefault="00132EF4" w:rsidP="00132EF4">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roboty przygotowawcze, </w:t>
      </w:r>
    </w:p>
    <w:p w:rsidR="00446738"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roboty rozbiórkowe,</w:t>
      </w:r>
    </w:p>
    <w:p w:rsidR="001434D3"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nawierzchnia jezdni,</w:t>
      </w:r>
    </w:p>
    <w:p w:rsidR="00446738"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pobocza i zjazdy z kruszywa,</w:t>
      </w:r>
    </w:p>
    <w:p w:rsidR="001434D3"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roboty wykończeniowe,</w:t>
      </w:r>
    </w:p>
    <w:p w:rsidR="00446738" w:rsidRPr="001434D3" w:rsidRDefault="001434D3" w:rsidP="001434D3">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oznakowanie, </w:t>
      </w:r>
    </w:p>
    <w:p w:rsidR="00446738" w:rsidRDefault="00446738"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inwentar</w:t>
      </w:r>
      <w:r w:rsidR="001434D3">
        <w:rPr>
          <w:rFonts w:ascii="Times New Roman" w:hAnsi="Times New Roman"/>
          <w:b/>
          <w:sz w:val="24"/>
          <w:szCs w:val="24"/>
        </w:rPr>
        <w:t xml:space="preserve">yzacja powykonawcza całości robót. </w:t>
      </w: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p>
    <w:p w:rsidR="00222A92" w:rsidRDefault="00222A92" w:rsidP="00132EF4">
      <w:pPr>
        <w:pStyle w:val="Default"/>
        <w:spacing w:line="360" w:lineRule="auto"/>
        <w:ind w:left="720"/>
        <w:rPr>
          <w:rFonts w:ascii="Arial" w:hAnsi="Arial" w:cs="Arial"/>
          <w:b/>
          <w:iCs/>
          <w:sz w:val="20"/>
          <w:szCs w:val="20"/>
        </w:rPr>
      </w:pP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w:t>
      </w:r>
      <w:r>
        <w:rPr>
          <w:rFonts w:ascii="Arial" w:hAnsi="Arial" w:cs="Arial"/>
          <w:iCs/>
          <w:sz w:val="20"/>
          <w:szCs w:val="20"/>
        </w:rPr>
        <w:lastRenderedPageBreak/>
        <w:t xml:space="preserve">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613D64" w:rsidP="006903C7">
      <w:pPr>
        <w:pStyle w:val="Akapitzlist"/>
        <w:spacing w:line="360" w:lineRule="auto"/>
        <w:ind w:left="595"/>
        <w:rPr>
          <w:rFonts w:eastAsia="Times New Roman"/>
          <w:sz w:val="20"/>
          <w:szCs w:val="20"/>
        </w:rPr>
      </w:pPr>
      <w:r>
        <w:rPr>
          <w:rFonts w:eastAsia="Times New Roman"/>
          <w:sz w:val="20"/>
          <w:szCs w:val="20"/>
        </w:rPr>
        <w:t>45233252-0</w:t>
      </w:r>
      <w:r w:rsidR="001434D3">
        <w:rPr>
          <w:rFonts w:eastAsia="Times New Roman"/>
          <w:sz w:val="20"/>
          <w:szCs w:val="20"/>
        </w:rPr>
        <w:t xml:space="preserve">  roboty w zakresie nawierzchni ulic.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lastRenderedPageBreak/>
        <w:t>V. Wizja lokalna</w:t>
      </w:r>
      <w:bookmarkEnd w:id="4"/>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t>VII. Termin wykonania zamówienia</w:t>
      </w:r>
      <w:bookmarkEnd w:id="6"/>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576BC3" w:rsidRPr="00446738">
        <w:rPr>
          <w:b/>
          <w:sz w:val="20"/>
          <w:szCs w:val="20"/>
          <w:u w:val="single"/>
        </w:rPr>
        <w:t xml:space="preserve">: </w:t>
      </w:r>
      <w:r w:rsidR="00446738" w:rsidRPr="00446738">
        <w:rPr>
          <w:b/>
          <w:sz w:val="20"/>
          <w:szCs w:val="20"/>
          <w:u w:val="single"/>
        </w:rPr>
        <w:t xml:space="preserve">2 miesiące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lastRenderedPageBreak/>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CA423D">
        <w:rPr>
          <w:b/>
          <w:sz w:val="20"/>
          <w:szCs w:val="20"/>
        </w:rPr>
        <w:t>: jedno z</w:t>
      </w:r>
      <w:r w:rsidR="001434D3">
        <w:rPr>
          <w:b/>
          <w:sz w:val="20"/>
          <w:szCs w:val="20"/>
        </w:rPr>
        <w:t>amówienie o wartości minimum 150</w:t>
      </w:r>
      <w:r w:rsidR="00A36537" w:rsidRPr="00CA423D">
        <w:rPr>
          <w:b/>
          <w:sz w:val="20"/>
          <w:szCs w:val="20"/>
        </w:rPr>
        <w:t>.000,00 zł. brutto</w:t>
      </w:r>
      <w:r w:rsidR="00F37A12">
        <w:rPr>
          <w:b/>
          <w:sz w:val="20"/>
          <w:szCs w:val="20"/>
        </w:rPr>
        <w:t xml:space="preserve"> (wraz z należnym podatkiem VAT)</w:t>
      </w:r>
      <w:r w:rsidR="00A36537" w:rsidRPr="00CA423D">
        <w:rPr>
          <w:b/>
          <w:sz w:val="20"/>
          <w:szCs w:val="20"/>
        </w:rPr>
        <w:t xml:space="preserve"> polegająca na wykonaniu robót budowlanych obejmujących wykonanie nawierzchni bitumicznej</w:t>
      </w:r>
      <w:r w:rsidR="00A36537">
        <w:rPr>
          <w:sz w:val="20"/>
          <w:szCs w:val="20"/>
        </w:rPr>
        <w:t xml:space="preserve">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69639F" w:rsidP="0083520A">
      <w:pPr>
        <w:pStyle w:val="Akapitzlist"/>
        <w:numPr>
          <w:ilvl w:val="0"/>
          <w:numId w:val="25"/>
        </w:numPr>
        <w:spacing w:line="360" w:lineRule="auto"/>
        <w:ind w:right="20"/>
        <w:jc w:val="both"/>
        <w:rPr>
          <w:b/>
          <w:sz w:val="20"/>
          <w:szCs w:val="20"/>
        </w:rPr>
      </w:pPr>
      <w:r>
        <w:rPr>
          <w:b/>
          <w:sz w:val="20"/>
          <w:szCs w:val="20"/>
        </w:rPr>
        <w:t xml:space="preserve">1 osobą, która będzie pełniła funkcję kierownika budowy przy realizacji zamówienia z uprawnieniami budowlanymi do kierowania robotami budowlanymi w specjalności drogowej </w:t>
      </w:r>
      <w:r>
        <w:rPr>
          <w:sz w:val="20"/>
          <w:szCs w:val="20"/>
        </w:rPr>
        <w:t xml:space="preserve">według obecnych przepisów Prawa Budowlanego lub odpowiadające im uprawnienia uzyskane według wcześniej obowiązujących przepisów Prawa Budowlanego.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Default="006539BA" w:rsidP="0083520A">
      <w:pPr>
        <w:numPr>
          <w:ilvl w:val="0"/>
          <w:numId w:val="17"/>
        </w:numPr>
        <w:spacing w:line="360" w:lineRule="auto"/>
        <w:ind w:left="812" w:hanging="386"/>
        <w:jc w:val="both"/>
        <w:rPr>
          <w:b/>
          <w:sz w:val="20"/>
          <w:szCs w:val="20"/>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w:t>
      </w:r>
      <w:r w:rsidRPr="00C4253E">
        <w:rPr>
          <w:b/>
          <w:sz w:val="20"/>
          <w:szCs w:val="20"/>
        </w:rPr>
        <w:lastRenderedPageBreak/>
        <w:t>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Pr>
          <w:sz w:val="20"/>
          <w:szCs w:val="20"/>
        </w:rPr>
        <w:lastRenderedPageBreak/>
        <w:t xml:space="preserve">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xml:space="preserve">, zobowiązanie podmiotu udostępniającego zasoby do </w:t>
      </w:r>
      <w:r w:rsidRPr="0077324D">
        <w:rPr>
          <w:b/>
          <w:sz w:val="20"/>
          <w:szCs w:val="20"/>
        </w:rPr>
        <w:lastRenderedPageBreak/>
        <w:t>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lastRenderedPageBreak/>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633D4">
        <w:rPr>
          <w:sz w:val="20"/>
          <w:szCs w:val="20"/>
        </w:rPr>
        <w:t>zamówienia: Pan Rafał Lisiak,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1434D3">
        <w:rPr>
          <w:sz w:val="20"/>
          <w:szCs w:val="20"/>
        </w:rPr>
        <w:t>11</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w:t>
      </w:r>
      <w:r w:rsidRPr="00B229FA">
        <w:rPr>
          <w:sz w:val="20"/>
          <w:szCs w:val="20"/>
        </w:rPr>
        <w:lastRenderedPageBreak/>
        <w:t>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83520A">
      <w:pPr>
        <w:pStyle w:val="Akapitzlist"/>
        <w:numPr>
          <w:ilvl w:val="0"/>
          <w:numId w:val="23"/>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020108" w:rsidRPr="000863F8" w:rsidRDefault="00C124A4" w:rsidP="000863F8">
      <w:pPr>
        <w:pStyle w:val="Akapitzlist"/>
        <w:spacing w:line="360" w:lineRule="auto"/>
        <w:jc w:val="both"/>
        <w:rPr>
          <w:sz w:val="20"/>
          <w:szCs w:val="20"/>
        </w:rPr>
      </w:pPr>
      <w:r>
        <w:rPr>
          <w:sz w:val="20"/>
          <w:szCs w:val="20"/>
        </w:rPr>
        <w:t>4) kosztorys</w:t>
      </w:r>
      <w:r w:rsidR="0048296D">
        <w:rPr>
          <w:sz w:val="20"/>
          <w:szCs w:val="20"/>
        </w:rPr>
        <w:t xml:space="preserve"> ofertow</w:t>
      </w:r>
      <w:r w:rsidR="003633D4">
        <w:rPr>
          <w:sz w:val="20"/>
          <w:szCs w:val="20"/>
        </w:rPr>
        <w:t xml:space="preserve">y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lastRenderedPageBreak/>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lastRenderedPageBreak/>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lastRenderedPageBreak/>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lastRenderedPageBreak/>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 xml:space="preserve">wyliczoną na podstawie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1434D3">
        <w:rPr>
          <w:b/>
          <w:sz w:val="20"/>
          <w:szCs w:val="20"/>
        </w:rPr>
        <w:t xml:space="preserve"> 4</w:t>
      </w:r>
      <w:r w:rsidR="003633D4">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1434D3">
        <w:rPr>
          <w:sz w:val="20"/>
          <w:szCs w:val="20"/>
        </w:rPr>
        <w:t xml:space="preserve"> cztery</w:t>
      </w:r>
      <w:r w:rsidR="003633D4">
        <w:rPr>
          <w:sz w:val="20"/>
          <w:szCs w:val="20"/>
        </w:rPr>
        <w:t xml:space="preserve"> </w:t>
      </w:r>
      <w:r w:rsidR="006E4396">
        <w:rPr>
          <w:sz w:val="20"/>
          <w:szCs w:val="20"/>
        </w:rPr>
        <w:t xml:space="preserve">tysięcy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782538P </w:t>
      </w:r>
      <w:r w:rsidR="001434D3">
        <w:rPr>
          <w:i/>
          <w:sz w:val="20"/>
          <w:szCs w:val="20"/>
        </w:rPr>
        <w:tab/>
        <w:t>w m. Bieganin – działka nr 74</w:t>
      </w:r>
      <w:r w:rsidR="00FB4680">
        <w:rPr>
          <w:i/>
          <w:sz w:val="20"/>
          <w:szCs w:val="20"/>
        </w:rPr>
        <w:t>”</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6" w:name="_Toc66783043"/>
      <w:r>
        <w:t>XVII. Termin związania ofertą</w:t>
      </w:r>
      <w:bookmarkEnd w:id="16"/>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242F5B">
        <w:rPr>
          <w:b/>
          <w:sz w:val="20"/>
          <w:szCs w:val="20"/>
        </w:rPr>
        <w:t>14</w:t>
      </w:r>
      <w:r w:rsidR="005D01FD">
        <w:rPr>
          <w:b/>
          <w:sz w:val="20"/>
          <w:szCs w:val="20"/>
        </w:rPr>
        <w:t xml:space="preserve"> października</w:t>
      </w:r>
      <w:r w:rsidR="00CE4912" w:rsidRPr="00A20931">
        <w:rPr>
          <w:b/>
          <w:sz w:val="20"/>
          <w:szCs w:val="20"/>
        </w:rPr>
        <w:t xml:space="preserve"> </w:t>
      </w:r>
      <w:r w:rsidR="007A5E51" w:rsidRPr="00A2093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66783044"/>
      <w:r>
        <w:t>XVIII. Miejsce i termin składania ofert</w:t>
      </w:r>
      <w:bookmarkEnd w:id="17"/>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242F5B">
        <w:rPr>
          <w:b/>
          <w:sz w:val="20"/>
          <w:szCs w:val="20"/>
        </w:rPr>
        <w:t>15</w:t>
      </w:r>
      <w:r w:rsidR="005D01FD">
        <w:rPr>
          <w:b/>
          <w:sz w:val="20"/>
          <w:szCs w:val="20"/>
        </w:rPr>
        <w:t xml:space="preserve"> września</w:t>
      </w:r>
      <w:r w:rsidR="007A5E51" w:rsidRPr="00A20931">
        <w:rPr>
          <w:b/>
          <w:sz w:val="20"/>
          <w:szCs w:val="20"/>
        </w:rPr>
        <w:t xml:space="preserve"> 2022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bookmarkStart w:id="18" w:name="_GoBack"/>
      <w:bookmarkEnd w:id="18"/>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lastRenderedPageBreak/>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242F5B">
        <w:rPr>
          <w:b/>
          <w:sz w:val="20"/>
          <w:szCs w:val="20"/>
        </w:rPr>
        <w:t>15</w:t>
      </w:r>
      <w:r w:rsidR="005D01FD">
        <w:rPr>
          <w:b/>
          <w:sz w:val="20"/>
          <w:szCs w:val="20"/>
        </w:rPr>
        <w:t xml:space="preserve"> września</w:t>
      </w:r>
      <w:r w:rsidR="007C43CF" w:rsidRPr="00A20931">
        <w:rPr>
          <w:b/>
          <w:sz w:val="20"/>
          <w:szCs w:val="20"/>
        </w:rPr>
        <w:t xml:space="preserve"> </w:t>
      </w:r>
      <w:r w:rsidR="007A5E51" w:rsidRPr="00A2093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lastRenderedPageBreak/>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lastRenderedPageBreak/>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bookmarkStart w:id="24" w:name="_Toc66783050"/>
      <w:r>
        <w:t>X</w:t>
      </w:r>
      <w:r w:rsidR="007E5D95">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9C" w:rsidRDefault="00EA529C">
      <w:pPr>
        <w:spacing w:line="240" w:lineRule="auto"/>
      </w:pPr>
      <w:r>
        <w:separator/>
      </w:r>
    </w:p>
  </w:endnote>
  <w:endnote w:type="continuationSeparator" w:id="0">
    <w:p w:rsidR="00EA529C" w:rsidRDefault="00EA5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64" w:rsidRDefault="00613D64">
    <w:pPr>
      <w:jc w:val="right"/>
    </w:pPr>
    <w:r>
      <w:fldChar w:fldCharType="begin"/>
    </w:r>
    <w:r>
      <w:instrText>PAGE</w:instrText>
    </w:r>
    <w:r>
      <w:fldChar w:fldCharType="separate"/>
    </w:r>
    <w:r w:rsidR="00FC59F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9C" w:rsidRDefault="00EA529C">
      <w:pPr>
        <w:spacing w:line="240" w:lineRule="auto"/>
      </w:pPr>
      <w:r>
        <w:separator/>
      </w:r>
    </w:p>
  </w:footnote>
  <w:footnote w:type="continuationSeparator" w:id="0">
    <w:p w:rsidR="00EA529C" w:rsidRDefault="00EA52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64" w:rsidRPr="005927D0" w:rsidRDefault="00613D64">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ZP.271.11.2022.1 „Przebudowa drogi gminnej nr 782538P w m. Bieganin – działka nr 74”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57E6A"/>
    <w:rsid w:val="003633D4"/>
    <w:rsid w:val="003643D2"/>
    <w:rsid w:val="0037403C"/>
    <w:rsid w:val="00383369"/>
    <w:rsid w:val="00395575"/>
    <w:rsid w:val="003A44B4"/>
    <w:rsid w:val="003B4AA0"/>
    <w:rsid w:val="003C20C5"/>
    <w:rsid w:val="003C315E"/>
    <w:rsid w:val="003C7AE1"/>
    <w:rsid w:val="003D7B31"/>
    <w:rsid w:val="003E039F"/>
    <w:rsid w:val="003E2BFC"/>
    <w:rsid w:val="003E6997"/>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613D64"/>
    <w:rsid w:val="00613D66"/>
    <w:rsid w:val="0061522A"/>
    <w:rsid w:val="00621302"/>
    <w:rsid w:val="006256C5"/>
    <w:rsid w:val="00653761"/>
    <w:rsid w:val="006539BA"/>
    <w:rsid w:val="006561DE"/>
    <w:rsid w:val="0066293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3574"/>
    <w:rsid w:val="0074380C"/>
    <w:rsid w:val="0074546A"/>
    <w:rsid w:val="00747FD7"/>
    <w:rsid w:val="00750B15"/>
    <w:rsid w:val="00766976"/>
    <w:rsid w:val="007703E7"/>
    <w:rsid w:val="0077324D"/>
    <w:rsid w:val="0077742A"/>
    <w:rsid w:val="007817F8"/>
    <w:rsid w:val="007A5A26"/>
    <w:rsid w:val="007A5E51"/>
    <w:rsid w:val="007A7C87"/>
    <w:rsid w:val="007B7B3E"/>
    <w:rsid w:val="007C43CF"/>
    <w:rsid w:val="007D7D83"/>
    <w:rsid w:val="007E1CC2"/>
    <w:rsid w:val="007E5D95"/>
    <w:rsid w:val="007F12F3"/>
    <w:rsid w:val="00801C4E"/>
    <w:rsid w:val="00805B57"/>
    <w:rsid w:val="00816235"/>
    <w:rsid w:val="00825574"/>
    <w:rsid w:val="00834F33"/>
    <w:rsid w:val="0083520A"/>
    <w:rsid w:val="008521E0"/>
    <w:rsid w:val="00865923"/>
    <w:rsid w:val="00867756"/>
    <w:rsid w:val="00870229"/>
    <w:rsid w:val="00870E95"/>
    <w:rsid w:val="008740D1"/>
    <w:rsid w:val="008853BC"/>
    <w:rsid w:val="00896A9B"/>
    <w:rsid w:val="008A2299"/>
    <w:rsid w:val="008A31DD"/>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7E13"/>
    <w:rsid w:val="00AE1D98"/>
    <w:rsid w:val="00B07AC7"/>
    <w:rsid w:val="00B20408"/>
    <w:rsid w:val="00B229FA"/>
    <w:rsid w:val="00B3677A"/>
    <w:rsid w:val="00B411FC"/>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85AB3"/>
    <w:rsid w:val="00C9038A"/>
    <w:rsid w:val="00C972F2"/>
    <w:rsid w:val="00CA2090"/>
    <w:rsid w:val="00CA423D"/>
    <w:rsid w:val="00CA52DB"/>
    <w:rsid w:val="00CB1D8F"/>
    <w:rsid w:val="00CC2B6D"/>
    <w:rsid w:val="00CC78E8"/>
    <w:rsid w:val="00CD2968"/>
    <w:rsid w:val="00CE4912"/>
    <w:rsid w:val="00CE60E2"/>
    <w:rsid w:val="00CF361E"/>
    <w:rsid w:val="00D063E5"/>
    <w:rsid w:val="00D15377"/>
    <w:rsid w:val="00D15626"/>
    <w:rsid w:val="00D20825"/>
    <w:rsid w:val="00D40A4B"/>
    <w:rsid w:val="00D43CC9"/>
    <w:rsid w:val="00D451C1"/>
    <w:rsid w:val="00D574E1"/>
    <w:rsid w:val="00D6192F"/>
    <w:rsid w:val="00D73619"/>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3242B"/>
    <w:rsid w:val="00E404D4"/>
    <w:rsid w:val="00E46D15"/>
    <w:rsid w:val="00E535E8"/>
    <w:rsid w:val="00E54E6E"/>
    <w:rsid w:val="00E5511A"/>
    <w:rsid w:val="00E728BE"/>
    <w:rsid w:val="00E77194"/>
    <w:rsid w:val="00E81150"/>
    <w:rsid w:val="00EA3460"/>
    <w:rsid w:val="00EA529C"/>
    <w:rsid w:val="00EA7C67"/>
    <w:rsid w:val="00EB2957"/>
    <w:rsid w:val="00EB3D58"/>
    <w:rsid w:val="00EB466F"/>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9399</Words>
  <Characters>56394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13</cp:revision>
  <cp:lastPrinted>2022-08-30T13:09:00Z</cp:lastPrinted>
  <dcterms:created xsi:type="dcterms:W3CDTF">2022-08-18T11:02:00Z</dcterms:created>
  <dcterms:modified xsi:type="dcterms:W3CDTF">2022-08-31T11:31:00Z</dcterms:modified>
</cp:coreProperties>
</file>