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Toruń, dnia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20.04.2023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INFORMACJA O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WYBORZE NAJKORZYSTNIEJSZEJ OFERTY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postępowaniu pn. „Kompleksowa organizacja i przeprowadzenie szkoleń komputerowych wraz z doradztwem w ramach projektu pn. „CERTYFIKOWANE SZKOLENIA KOMPUTEROWE dla osób dorosłych z województwa kujawsko-pomorskiego”, nr ref. TARRSA/SZKOLENIA_INFO/1/202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Toruńska Agencja Rozwoju Regionalnego S.A. informuje, że w prowadzonym postępowaniu wpłynęła jedna oferta na każdą z części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Oferta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otrzymała oceny jak niżej: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8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Część I:</w:t>
      </w:r>
      <w:r w:rsidDel="00000000" w:rsidR="00000000" w:rsidRPr="00000000">
        <w:rPr>
          <w:rtl w:val="0"/>
        </w:rPr>
      </w:r>
    </w:p>
    <w:tbl>
      <w:tblPr>
        <w:tblStyle w:val="Table1"/>
        <w:tblW w:w="8475.0" w:type="dxa"/>
        <w:jc w:val="left"/>
        <w:tblInd w:w="175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65"/>
        <w:gridCol w:w="3030"/>
        <w:gridCol w:w="1605"/>
        <w:gridCol w:w="1605"/>
        <w:gridCol w:w="1470"/>
        <w:tblGridChange w:id="0">
          <w:tblGrid>
            <w:gridCol w:w="765"/>
            <w:gridCol w:w="3030"/>
            <w:gridCol w:w="1605"/>
            <w:gridCol w:w="1605"/>
            <w:gridCol w:w="147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Nr oferty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i adres Wykonawcy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Punktacja w kryterium „CENA”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Punktacja w kryterium „JAKOŚĆ”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Łączna punktacja</w:t>
            </w:r>
          </w:p>
        </w:tc>
      </w:tr>
      <w:tr>
        <w:trPr>
          <w:cantSplit w:val="0"/>
          <w:trHeight w:val="1752.53906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Konsorcjum w składzie: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Lider: Training House Iwona Wencka – Stramowska, ul. Reginy 19, 05-084 Leszno; 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Partner: DIAGNOSERW Dawid Stramowski, ul. Reginy 19, 05-084 Leszno;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40,00 pkt.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59,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pkt.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99,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pkt.</w:t>
            </w:r>
          </w:p>
        </w:tc>
      </w:tr>
    </w:tbl>
    <w:p w:rsidR="00000000" w:rsidDel="00000000" w:rsidP="00000000" w:rsidRDefault="00000000" w:rsidRPr="00000000" w14:paraId="00000017">
      <w:pPr>
        <w:spacing w:after="60" w:lineRule="auto"/>
        <w:ind w:left="284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Część II:</w:t>
      </w:r>
    </w:p>
    <w:tbl>
      <w:tblPr>
        <w:tblStyle w:val="Table2"/>
        <w:tblW w:w="7020.0" w:type="dxa"/>
        <w:jc w:val="left"/>
        <w:tblInd w:w="175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65"/>
        <w:gridCol w:w="3030"/>
        <w:gridCol w:w="1650"/>
        <w:gridCol w:w="1575"/>
        <w:tblGridChange w:id="0">
          <w:tblGrid>
            <w:gridCol w:w="765"/>
            <w:gridCol w:w="3030"/>
            <w:gridCol w:w="1650"/>
            <w:gridCol w:w="157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Nr oferty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Nazwa i adres Wykonawcy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Punktacja w kryterium „CENA”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Łączna punktacja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Konsorcjum w składzie: 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Lider: Training House Iwona Wencka – Stramowska, ul. Reginy 19, 05-084 Leszno;  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Partner: DIAGNOSERW Dawid Stramowski, ul. Reginy 19, 05-084 Leszno;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100,00 pkt.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100,00 pkt.</w:t>
            </w:r>
          </w:p>
        </w:tc>
      </w:tr>
    </w:tbl>
    <w:p w:rsidR="00000000" w:rsidDel="00000000" w:rsidP="00000000" w:rsidRDefault="00000000" w:rsidRPr="00000000" w14:paraId="00000023">
      <w:pPr>
        <w:ind w:left="284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postępowaniu, zarówno w części I jaki i części II zamówienia nie wykluczono żadnego wykonawcy i nie odrzucono żadnej oferty.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postępowaniu jako najkorzystniejszą wybrano następujące ofert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566.9291338582675" w:right="0" w:hanging="141.7322834645666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 części I: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oferta konsorcjum wykonawców w składzie: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Lider: Training House Iwona Wencka – Stramowska, ul. Reginy 19, 05-084 Leszno;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Partner: DIAGNOSERW Dawid Stramowski, ul. Reginy 19, 05-084 Leszno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9999999999999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84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Uzasadnienie wyboru: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Wybrana oferta była jedyną ofertą złożoną w postępowaniu, spełniała wszystkie wymagania SWZ i złożona została przez wykonawców niepodlegających wykluczeniu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84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60" w:lineRule="auto"/>
        <w:ind w:left="708.6614173228347" w:hanging="141.7322834645671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 części II: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oferta konsorcjum wykonawców w składzie:</w:t>
      </w:r>
    </w:p>
    <w:p w:rsidR="00000000" w:rsidDel="00000000" w:rsidP="00000000" w:rsidRDefault="00000000" w:rsidRPr="00000000" w14:paraId="0000002E">
      <w:pPr>
        <w:ind w:left="284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Lider: Training House Iwona Wencka – Stramowska, ul. Reginy 19, 05-084 Leszno;  </w:t>
      </w:r>
    </w:p>
    <w:p w:rsidR="00000000" w:rsidDel="00000000" w:rsidP="00000000" w:rsidRDefault="00000000" w:rsidRPr="00000000" w14:paraId="0000002F">
      <w:pPr>
        <w:ind w:left="284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Partner: DIAGNOSERW Dawid Stramowski, ul. Reginy 19, 05-084 Leszno.</w:t>
      </w:r>
    </w:p>
    <w:p w:rsidR="00000000" w:rsidDel="00000000" w:rsidP="00000000" w:rsidRDefault="00000000" w:rsidRPr="00000000" w14:paraId="00000030">
      <w:pPr>
        <w:ind w:left="284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60" w:lineRule="auto"/>
        <w:ind w:left="28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Uzasadnienie wyboru: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Wybrana oferta była jedyną ofertą złożoną w postępowaniu, spełniała wszystkie wymagania SWZ i złożona została przez wykonawców niepodlegających wykluczeniu.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-410844</wp:posOffset>
            </wp:positionH>
            <wp:positionV relativeFrom="paragraph">
              <wp:posOffset>992505</wp:posOffset>
            </wp:positionV>
            <wp:extent cx="1620520" cy="398145"/>
            <wp:effectExtent b="0" l="0" r="0" t="0"/>
            <wp:wrapSquare wrapText="bothSides" distB="0" distT="0" distL="114300" distR="114300"/>
            <wp:docPr id="102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3981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7" w:top="2522" w:left="1417" w:right="1417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  <w:rtl w:val="0"/>
      </w:rPr>
      <w:t xml:space="preserve">Strona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275.0" w:type="dxa"/>
      <w:jc w:val="center"/>
      <w:tblLayout w:type="fixed"/>
      <w:tblLook w:val="0000"/>
    </w:tblPr>
    <w:tblGrid>
      <w:gridCol w:w="3545"/>
      <w:gridCol w:w="853"/>
      <w:gridCol w:w="1530"/>
      <w:gridCol w:w="4347"/>
      <w:tblGridChange w:id="0">
        <w:tblGrid>
          <w:gridCol w:w="3545"/>
          <w:gridCol w:w="853"/>
          <w:gridCol w:w="1530"/>
          <w:gridCol w:w="4347"/>
        </w:tblGrid>
      </w:tblGridChange>
    </w:tblGrid>
    <w:tr>
      <w:trPr>
        <w:cantSplit w:val="0"/>
        <w:trHeight w:val="930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Toruńska Agencja Rozwoju Regionalnego S.A.</w:t>
          </w:r>
        </w:p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z siedzibą w Toruniu</w:t>
          </w:r>
        </w:p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ul. Włocławska 167, 87-100 Toruń</w:t>
          </w:r>
        </w:p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e-mail: sekretariat@tarr.org.pl</w:t>
          </w:r>
        </w:p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tel.: 56 699 55 00, 699 55 03 fax.: 56 699 54 99</w:t>
          </w:r>
        </w:p>
      </w:tc>
      <w:tc>
        <w:tcPr>
          <w:vAlign w:val="top"/>
        </w:tcPr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00" w:before="0" w:line="276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00" w:before="0" w:line="276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Konto Bankowe: 04 1140 1052 0000 3472 1800 1003</w:t>
          </w:r>
        </w:p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NIP: 956-00-15-177   |   REGON: 870300040   |</w:t>
          </w:r>
        </w:p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Sąd Rejonowy w Toruniu, VII Wydział Gospodarczy KRS,</w:t>
          </w:r>
        </w:p>
        <w:p w:rsidR="00000000" w:rsidDel="00000000" w:rsidP="00000000" w:rsidRDefault="00000000" w:rsidRPr="00000000" w14:paraId="0000004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KRS 0000066071</w:t>
          </w:r>
        </w:p>
        <w:p w:rsidR="00000000" w:rsidDel="00000000" w:rsidP="00000000" w:rsidRDefault="00000000" w:rsidRPr="00000000" w14:paraId="0000004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Kapitał zakładowy: 33 290 000,00 zł, opłacony w całości.</w:t>
          </w:r>
        </w:p>
      </w:tc>
    </w:tr>
  </w:tbl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24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24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-1417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742940" cy="630555"/>
          <wp:effectExtent b="0" l="0" r="0" t="0"/>
          <wp:docPr id="102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left"/>
      <w:pPr>
        <w:ind w:left="855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1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3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5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7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9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1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3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55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" w:eastAsia="Lucida Sans Unicode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pl-PL"/>
    </w:rPr>
  </w:style>
  <w:style w:type="paragraph" w:styleId="Nagłówek10">
    <w:name w:val="Nagłówek 1"/>
    <w:basedOn w:val="Normalny"/>
    <w:next w:val="Normalny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kern w:val="0"/>
      <w:position w:val="-1"/>
      <w:sz w:val="28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rdowy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omyślnaczcionkaakapitu2">
    <w:name w:val="Domyślna czcionka akapitu2"/>
    <w:next w:val="Domyślnaczcionkaakapitu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omyślnaczcionkaakapitu1">
    <w:name w:val="Domyślna czcionka akapitu1"/>
    <w:next w:val="Domyślnaczcionkaakapitu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agłówekZnak">
    <w:name w:val="Nagłówek Znak"/>
    <w:basedOn w:val="DefaultParagraphFont"/>
    <w:next w:val="Nagłówek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opkaZnak">
    <w:name w:val="Stopka Znak"/>
    <w:basedOn w:val="DefaultParagraphFont"/>
    <w:next w:val="Stopk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kstdymkaZnak">
    <w:name w:val="Tekst dymka Znak"/>
    <w:basedOn w:val="DefaultParagraphFont"/>
    <w:next w:val="Tekstdymk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agłówek3">
    <w:name w:val="Nagłówek3"/>
    <w:basedOn w:val="Normalny"/>
    <w:next w:val="Tekstpodstawowy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ar-SA" w:val="pl-PL"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" w:eastAsia="Lucida Sans Unicode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pl-PL"/>
    </w:rPr>
  </w:style>
  <w:style w:type="paragraph" w:styleId="Lista">
    <w:name w:val="Lista"/>
    <w:basedOn w:val="Tekstpodstawowy"/>
    <w:next w:val="Lista"/>
    <w:autoRedefine w:val="0"/>
    <w:hidden w:val="0"/>
    <w:qFormat w:val="0"/>
    <w:pPr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Lucida Sans Unicode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pl-PL"/>
    </w:rPr>
  </w:style>
  <w:style w:type="paragraph" w:styleId="Podpis3">
    <w:name w:val="Podpis3"/>
    <w:basedOn w:val="Normalny"/>
    <w:next w:val="Podpis3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Lucida Sans Unicode" w:hAnsi="Calibri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Indeks">
    <w:name w:val="Indeks"/>
    <w:basedOn w:val="Normalny"/>
    <w:next w:val="Indeks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Lucida Sans Unicode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pl-PL"/>
    </w:rPr>
  </w:style>
  <w:style w:type="paragraph" w:styleId="Nagłówek2">
    <w:name w:val="Nagłówek2"/>
    <w:basedOn w:val="Normalny"/>
    <w:next w:val="Tekstpodstawowy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ar-SA" w:val="pl-PL"/>
    </w:rPr>
  </w:style>
  <w:style w:type="paragraph" w:styleId="Podpis2">
    <w:name w:val="Podpis2"/>
    <w:basedOn w:val="Normalny"/>
    <w:next w:val="Podpis2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Lucida Sans Unicode" w:hAnsi="Calibri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Nagłówek1">
    <w:name w:val="Nagłówek1"/>
    <w:basedOn w:val="Normalny"/>
    <w:next w:val="Tekstpodstawowy"/>
    <w:autoRedefine w:val="0"/>
    <w:hidden w:val="0"/>
    <w:qFormat w:val="0"/>
    <w:pPr>
      <w:keepNext w:val="1"/>
      <w:tabs>
        <w:tab w:val="center" w:leader="none" w:pos="4536"/>
        <w:tab w:val="right" w:leader="none" w:pos="9072"/>
      </w:tabs>
      <w:suppressAutoHyphens w:val="0"/>
      <w:spacing w:after="0" w:before="24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ar-SA" w:val="pl-PL"/>
    </w:rPr>
  </w:style>
  <w:style w:type="paragraph" w:styleId="Podpis1">
    <w:name w:val="Podpis1"/>
    <w:basedOn w:val="Normalny"/>
    <w:next w:val="Podpis1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Lucida Sans Unicode" w:hAnsi="Calibri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Stopka">
    <w:name w:val="Stopka"/>
    <w:basedOn w:val="Normalny"/>
    <w:next w:val="Stopka"/>
    <w:autoRedefine w:val="0"/>
    <w:hidden w:val="0"/>
    <w:qFormat w:val="0"/>
    <w:pPr>
      <w:suppressLineNumbers w:val="1"/>
      <w:tabs>
        <w:tab w:val="center" w:leader="none" w:pos="4536"/>
        <w:tab w:val="right" w:leader="none" w:pos="9072"/>
      </w:tabs>
      <w:suppressAutoHyphens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" w:eastAsia="Lucida Sans Unicode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pl-PL"/>
    </w:rPr>
  </w:style>
  <w:style w:type="paragraph" w:styleId="BalloonText">
    <w:name w:val="Balloon Text"/>
    <w:basedOn w:val="Normalny"/>
    <w:next w:val="BalloonText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" w:eastAsia="Lucida Sans Unicode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pl-PL"/>
    </w:rPr>
  </w:style>
  <w:style w:type="paragraph" w:styleId="Nagłówek">
    <w:name w:val="Nagłówek"/>
    <w:basedOn w:val="Normalny"/>
    <w:next w:val="Nagłówek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" w:eastAsia="Lucida Sans Unicode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pl-PL"/>
    </w:rPr>
  </w:style>
  <w:style w:type="paragraph" w:styleId="Zawartośćtabeli">
    <w:name w:val="Zawartość tabeli"/>
    <w:basedOn w:val="Normalny"/>
    <w:next w:val="Zawartośćtabeli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" w:eastAsia="Lucida Sans Unicode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pl-PL"/>
    </w:rPr>
  </w:style>
  <w:style w:type="paragraph" w:styleId="Nagłówektabeli">
    <w:name w:val="Nagłówek tabeli"/>
    <w:basedOn w:val="Zawartośćtabeli"/>
    <w:next w:val="Nagłówektabeli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" w:eastAsia="Lucida Sans Unicode" w:hAnsi="Calibri"/>
      <w:b w:val="1"/>
      <w:bCs w:val="1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ar-SA" w:val="pl-PL"/>
    </w:rPr>
  </w:style>
  <w:style w:type="character" w:styleId="Nagłówek1Znak">
    <w:name w:val="Nagłówek 1 Znak"/>
    <w:next w:val="Nagłówek1Znak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Hiperłącze">
    <w:name w:val="Hiperłącze"/>
    <w:next w:val="Hiperłącz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1"/>
      <w:spacing w:after="120" w:line="480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entury Gothic" w:cs="Times New Roman" w:eastAsia="Calibri" w:hAnsi="Century Gothic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Pogrubienie">
    <w:name w:val="Pogrubienie"/>
    <w:next w:val="Pogrubieni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AkapitzlistąZnak">
    <w:name w:val="Akapit z listą Znak"/>
    <w:next w:val="AkapitzlistąZnak"/>
    <w:autoRedefine w:val="0"/>
    <w:hidden w:val="0"/>
    <w:qFormat w:val="0"/>
    <w:rPr>
      <w:rFonts w:ascii="Century Gothic" w:eastAsia="Calibri" w:hAnsi="Century Gothic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kstdymka">
    <w:name w:val="Tekst dymka"/>
    <w:basedOn w:val="Normalny"/>
    <w:next w:val="Tekstdymka"/>
    <w:autoRedefine w:val="0"/>
    <w:hidden w:val="0"/>
    <w:qFormat w:val="1"/>
    <w:pPr>
      <w:suppressAutoHyphens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Lucida Sans Unicode" w:hAnsi="Tahoma"/>
      <w:w w:val="100"/>
      <w:kern w:val="1"/>
      <w:position w:val="-1"/>
      <w:sz w:val="16"/>
      <w:szCs w:val="16"/>
      <w:effect w:val="none"/>
      <w:vertAlign w:val="baseline"/>
      <w:cs w:val="0"/>
      <w:em w:val="none"/>
      <w:lang w:bidi="ar-SA" w:eastAsia="ar-SA" w:val="pl-PL"/>
    </w:rPr>
  </w:style>
  <w:style w:type="character" w:styleId="TekstdymkaZnak1">
    <w:name w:val="Tekst dymka Znak1"/>
    <w:next w:val="TekstdymkaZnak1"/>
    <w:autoRedefine w:val="0"/>
    <w:hidden w:val="0"/>
    <w:qFormat w:val="0"/>
    <w:rPr>
      <w:rFonts w:ascii="Tahoma" w:cs="Tahoma" w:eastAsia="Lucida Sans Unicode" w:hAnsi="Tahoma"/>
      <w:w w:val="100"/>
      <w:kern w:val="1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a5wavxKzRTx1s4Fe9IDt17AjRw==">AMUW2mWM60BEV5PpYMjtXCN7v9Qp7kQUNvQIXf4PHo0OUQCoGMWf/CqT4dzmzOW60/nN/5feORf+W3ByufTQ9KqCGsBHifjqUhIAbq+NxqsB9v2fob7GkVyDLmPwtyEhjNdq/8bH0Am9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2022-06-02T08:51:00Z</dcterms:created>
  <dc:creator>A.Kozłowska</dc:creator>
</cp:coreProperties>
</file>