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28E47189" w:rsidR="00A97A87" w:rsidRPr="002E611E" w:rsidRDefault="00A97A87" w:rsidP="00D737CA">
      <w:pPr>
        <w:spacing w:after="0" w:line="240" w:lineRule="auto"/>
        <w:ind w:left="6372" w:firstLine="708"/>
        <w:jc w:val="both"/>
        <w:rPr>
          <w:rFonts w:ascii="Times New Roman" w:hAnsi="Times New Roman" w:cs="Times New Roman"/>
          <w:b/>
          <w:sz w:val="21"/>
          <w:szCs w:val="21"/>
        </w:rPr>
      </w:pPr>
      <w:r w:rsidRPr="002E611E">
        <w:rPr>
          <w:rFonts w:ascii="Times New Roman" w:hAnsi="Times New Roman" w:cs="Times New Roman"/>
          <w:b/>
          <w:sz w:val="21"/>
          <w:szCs w:val="21"/>
        </w:rPr>
        <w:t xml:space="preserve">Szczecin, dnia </w:t>
      </w:r>
      <w:r w:rsidR="0066447F">
        <w:rPr>
          <w:rFonts w:ascii="Times New Roman" w:hAnsi="Times New Roman" w:cs="Times New Roman"/>
          <w:b/>
          <w:sz w:val="21"/>
          <w:szCs w:val="21"/>
        </w:rPr>
        <w:t>31</w:t>
      </w:r>
      <w:r w:rsidR="002E611E">
        <w:rPr>
          <w:rFonts w:ascii="Times New Roman" w:hAnsi="Times New Roman" w:cs="Times New Roman"/>
          <w:b/>
          <w:sz w:val="21"/>
          <w:szCs w:val="21"/>
        </w:rPr>
        <w:t xml:space="preserve"> lipca</w:t>
      </w:r>
      <w:r w:rsidR="00AC6A22" w:rsidRPr="002E611E">
        <w:rPr>
          <w:rFonts w:ascii="Times New Roman" w:hAnsi="Times New Roman" w:cs="Times New Roman"/>
          <w:b/>
          <w:sz w:val="21"/>
          <w:szCs w:val="21"/>
        </w:rPr>
        <w:t xml:space="preserve"> </w:t>
      </w:r>
      <w:r w:rsidR="003F47F4" w:rsidRPr="002E611E">
        <w:rPr>
          <w:rFonts w:ascii="Times New Roman" w:hAnsi="Times New Roman" w:cs="Times New Roman"/>
          <w:b/>
          <w:sz w:val="21"/>
          <w:szCs w:val="21"/>
        </w:rPr>
        <w:t>20</w:t>
      </w:r>
      <w:r w:rsidR="008F1DFD" w:rsidRPr="002E611E">
        <w:rPr>
          <w:rFonts w:ascii="Times New Roman" w:hAnsi="Times New Roman" w:cs="Times New Roman"/>
          <w:b/>
          <w:sz w:val="21"/>
          <w:szCs w:val="21"/>
        </w:rPr>
        <w:t>20</w:t>
      </w:r>
      <w:r w:rsidR="003F47F4" w:rsidRPr="002E611E">
        <w:rPr>
          <w:rFonts w:ascii="Times New Roman" w:hAnsi="Times New Roman" w:cs="Times New Roman"/>
          <w:b/>
          <w:sz w:val="21"/>
          <w:szCs w:val="21"/>
        </w:rPr>
        <w:t>r</w:t>
      </w:r>
    </w:p>
    <w:p w14:paraId="36E42618" w14:textId="096B9AAE" w:rsidR="00A97A87" w:rsidRPr="002E611E" w:rsidRDefault="009E3933" w:rsidP="00D737CA">
      <w:pPr>
        <w:spacing w:after="0" w:line="240" w:lineRule="auto"/>
        <w:jc w:val="both"/>
        <w:rPr>
          <w:rFonts w:ascii="Times New Roman" w:hAnsi="Times New Roman" w:cs="Times New Roman"/>
          <w:b/>
          <w:sz w:val="21"/>
          <w:szCs w:val="21"/>
        </w:rPr>
      </w:pPr>
      <w:r w:rsidRPr="002E611E">
        <w:rPr>
          <w:rFonts w:ascii="Times New Roman" w:hAnsi="Times New Roman" w:cs="Times New Roman"/>
          <w:b/>
          <w:sz w:val="21"/>
          <w:szCs w:val="21"/>
        </w:rPr>
        <w:t>ZP/220/</w:t>
      </w:r>
      <w:r w:rsidR="002E611E">
        <w:rPr>
          <w:rFonts w:ascii="Times New Roman" w:hAnsi="Times New Roman" w:cs="Times New Roman"/>
          <w:b/>
          <w:sz w:val="21"/>
          <w:szCs w:val="21"/>
        </w:rPr>
        <w:t>31</w:t>
      </w:r>
      <w:r w:rsidR="00382792" w:rsidRPr="002E611E">
        <w:rPr>
          <w:rFonts w:ascii="Times New Roman" w:hAnsi="Times New Roman" w:cs="Times New Roman"/>
          <w:b/>
          <w:sz w:val="21"/>
          <w:szCs w:val="21"/>
        </w:rPr>
        <w:t>/20</w:t>
      </w:r>
    </w:p>
    <w:p w14:paraId="6996364A" w14:textId="77777777" w:rsidR="00A97A87" w:rsidRPr="002E611E" w:rsidRDefault="00A97A87" w:rsidP="00D737CA">
      <w:pPr>
        <w:spacing w:after="0" w:line="240" w:lineRule="auto"/>
        <w:jc w:val="both"/>
        <w:rPr>
          <w:rFonts w:ascii="Times New Roman" w:hAnsi="Times New Roman" w:cs="Times New Roman"/>
          <w:sz w:val="21"/>
          <w:szCs w:val="21"/>
        </w:rPr>
      </w:pPr>
    </w:p>
    <w:p w14:paraId="1392421F" w14:textId="77777777" w:rsidR="00793EEA" w:rsidRPr="00297823" w:rsidRDefault="00793EEA" w:rsidP="00D737CA">
      <w:pPr>
        <w:autoSpaceDE w:val="0"/>
        <w:autoSpaceDN w:val="0"/>
        <w:adjustRightInd w:val="0"/>
        <w:spacing w:after="0" w:line="240" w:lineRule="auto"/>
        <w:ind w:right="-2"/>
        <w:jc w:val="both"/>
        <w:rPr>
          <w:b/>
          <w:spacing w:val="-10"/>
          <w:kern w:val="1"/>
          <w:sz w:val="20"/>
          <w:szCs w:val="20"/>
        </w:rPr>
      </w:pPr>
      <w:r w:rsidRPr="00297823">
        <w:rPr>
          <w:b/>
          <w:sz w:val="20"/>
          <w:szCs w:val="20"/>
        </w:rPr>
        <w:t xml:space="preserve">w sprawie: przetargu nieograniczonego na </w:t>
      </w:r>
      <w:r w:rsidRPr="00297823">
        <w:rPr>
          <w:b/>
          <w:spacing w:val="-10"/>
          <w:kern w:val="1"/>
          <w:sz w:val="20"/>
          <w:szCs w:val="20"/>
        </w:rPr>
        <w:t xml:space="preserve">Usługę grupowego ubezpieczenia na życie pracowników Samodzielnego Publicznego Szpitala Klinicznego Nr 2 PUM w Szczecinie oraz ich pełnoletnich dzieci, współmałżonków i partnerów życiowych </w:t>
      </w:r>
    </w:p>
    <w:p w14:paraId="1C792522" w14:textId="77777777" w:rsidR="009E3933" w:rsidRPr="002E611E" w:rsidRDefault="009E3933" w:rsidP="00D737CA">
      <w:pPr>
        <w:spacing w:after="0" w:line="240" w:lineRule="auto"/>
        <w:jc w:val="both"/>
        <w:rPr>
          <w:rFonts w:ascii="Times New Roman" w:hAnsi="Times New Roman" w:cs="Times New Roman"/>
          <w:b/>
          <w:sz w:val="21"/>
          <w:szCs w:val="21"/>
        </w:rPr>
      </w:pPr>
    </w:p>
    <w:p w14:paraId="6E924A9D" w14:textId="7E6D6FB1" w:rsidR="009E3933" w:rsidRPr="002E611E" w:rsidRDefault="009E3933" w:rsidP="00D737CA">
      <w:pPr>
        <w:pStyle w:val="Tekstpodstawowy3"/>
        <w:spacing w:after="0" w:line="240" w:lineRule="auto"/>
        <w:jc w:val="both"/>
        <w:rPr>
          <w:rFonts w:ascii="Times New Roman" w:hAnsi="Times New Roman"/>
          <w:b/>
          <w:sz w:val="21"/>
          <w:szCs w:val="21"/>
          <w:u w:val="single"/>
        </w:rPr>
      </w:pPr>
      <w:r w:rsidRPr="002E611E">
        <w:rPr>
          <w:rFonts w:ascii="Times New Roman" w:hAnsi="Times New Roman"/>
          <w:b/>
          <w:sz w:val="21"/>
          <w:szCs w:val="21"/>
        </w:rPr>
        <w:t xml:space="preserve">     </w:t>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0066447F">
        <w:rPr>
          <w:rFonts w:ascii="Times New Roman" w:hAnsi="Times New Roman"/>
          <w:b/>
          <w:sz w:val="21"/>
          <w:szCs w:val="21"/>
          <w:u w:val="single"/>
        </w:rPr>
        <w:t>Wyjaśnienia 2</w:t>
      </w:r>
    </w:p>
    <w:p w14:paraId="7D454AE3" w14:textId="77777777" w:rsidR="009E3933" w:rsidRPr="002E611E" w:rsidRDefault="009E3933" w:rsidP="00D737CA">
      <w:pPr>
        <w:spacing w:after="0" w:line="240" w:lineRule="auto"/>
        <w:jc w:val="both"/>
        <w:rPr>
          <w:rFonts w:ascii="Times New Roman" w:hAnsi="Times New Roman" w:cs="Times New Roman"/>
          <w:sz w:val="21"/>
          <w:szCs w:val="21"/>
        </w:rPr>
      </w:pPr>
      <w:r w:rsidRPr="002E611E">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2E611E" w:rsidRDefault="001C1A7C" w:rsidP="00D737CA">
      <w:pPr>
        <w:spacing w:after="0" w:line="240" w:lineRule="auto"/>
        <w:jc w:val="both"/>
        <w:rPr>
          <w:rFonts w:ascii="Times New Roman" w:hAnsi="Times New Roman" w:cs="Times New Roman"/>
          <w:b/>
          <w:color w:val="FF0000"/>
          <w:sz w:val="21"/>
          <w:szCs w:val="21"/>
        </w:rPr>
      </w:pPr>
    </w:p>
    <w:p w14:paraId="2BB5FC8A" w14:textId="77777777" w:rsidR="0066447F" w:rsidRPr="00060016" w:rsidRDefault="0066447F" w:rsidP="00D737CA">
      <w:pPr>
        <w:spacing w:before="100" w:beforeAutospacing="1" w:after="0" w:line="240" w:lineRule="auto"/>
        <w:rPr>
          <w:rFonts w:eastAsia="Times New Roman" w:cs="Tahoma"/>
          <w:color w:val="000000"/>
          <w:sz w:val="20"/>
          <w:szCs w:val="20"/>
          <w:lang w:eastAsia="pl-PL"/>
        </w:rPr>
      </w:pPr>
      <w:r w:rsidRPr="00060016">
        <w:rPr>
          <w:rFonts w:eastAsia="Times New Roman" w:cs="Tahoma"/>
          <w:b/>
          <w:bCs/>
          <w:color w:val="000000"/>
          <w:sz w:val="20"/>
          <w:szCs w:val="20"/>
          <w:lang w:eastAsia="pl-PL"/>
        </w:rPr>
        <w:t>1.</w:t>
      </w:r>
      <w:r w:rsidRPr="00060016">
        <w:rPr>
          <w:rFonts w:eastAsia="Times New Roman" w:cs="Tahoma"/>
          <w:color w:val="000000"/>
          <w:sz w:val="20"/>
          <w:szCs w:val="20"/>
          <w:lang w:eastAsia="pl-PL"/>
        </w:rPr>
        <w:t xml:space="preserve">     OPZ, dział E, podrozdział Dopuszczalne wyłączenia, pkt 1 - Czy Zamawiający zgodzi się na zastosowanie dopuszczalnych </w:t>
      </w:r>
      <w:proofErr w:type="spellStart"/>
      <w:r w:rsidRPr="00060016">
        <w:rPr>
          <w:rFonts w:eastAsia="Times New Roman" w:cs="Tahoma"/>
          <w:color w:val="000000"/>
          <w:sz w:val="20"/>
          <w:szCs w:val="20"/>
          <w:lang w:eastAsia="pl-PL"/>
        </w:rPr>
        <w:t>wyłączeń</w:t>
      </w:r>
      <w:proofErr w:type="spellEnd"/>
      <w:r w:rsidRPr="00060016">
        <w:rPr>
          <w:rFonts w:eastAsia="Times New Roman" w:cs="Tahoma"/>
          <w:color w:val="000000"/>
          <w:sz w:val="20"/>
          <w:szCs w:val="20"/>
          <w:lang w:eastAsia="pl-PL"/>
        </w:rPr>
        <w:t xml:space="preserve"> w zakresie ryzyka śmierci ubezpieczonego (nie związanej z nieszczęśliwym wypadkiem), osierocenia dziecka na skutek śmierci Ubezpieczonego zgodnie z poniższymi </w:t>
      </w:r>
      <w:proofErr w:type="spellStart"/>
      <w:r w:rsidRPr="00060016">
        <w:rPr>
          <w:rFonts w:eastAsia="Times New Roman" w:cs="Tahoma"/>
          <w:color w:val="000000"/>
          <w:sz w:val="20"/>
          <w:szCs w:val="20"/>
          <w:lang w:eastAsia="pl-PL"/>
        </w:rPr>
        <w:t>wyłączeniami</w:t>
      </w:r>
      <w:proofErr w:type="spellEnd"/>
      <w:r w:rsidRPr="00060016">
        <w:rPr>
          <w:rFonts w:eastAsia="Times New Roman" w:cs="Tahoma"/>
          <w:color w:val="000000"/>
          <w:sz w:val="20"/>
          <w:szCs w:val="20"/>
          <w:lang w:eastAsia="pl-PL"/>
        </w:rPr>
        <w:t>:</w:t>
      </w:r>
    </w:p>
    <w:p w14:paraId="7FA5FF10" w14:textId="77777777" w:rsidR="0066447F" w:rsidRPr="00060016" w:rsidRDefault="0066447F" w:rsidP="00D737CA">
      <w:pPr>
        <w:spacing w:after="0" w:line="240" w:lineRule="auto"/>
        <w:rPr>
          <w:rFonts w:eastAsia="Times New Roman" w:cs="Tahoma"/>
          <w:color w:val="000000"/>
          <w:sz w:val="20"/>
          <w:szCs w:val="20"/>
          <w:lang w:eastAsia="pl-PL"/>
        </w:rPr>
      </w:pPr>
      <w:r w:rsidRPr="00060016">
        <w:rPr>
          <w:rFonts w:eastAsia="Times New Roman" w:cs="Tahoma"/>
          <w:color w:val="000000"/>
          <w:sz w:val="20"/>
          <w:szCs w:val="20"/>
          <w:lang w:eastAsia="pl-PL"/>
        </w:rPr>
        <w:t>Wykonawca nie ponosi odpowiedzialności w przypadku: </w:t>
      </w:r>
    </w:p>
    <w:p w14:paraId="1E370D37" w14:textId="77777777" w:rsidR="0066447F" w:rsidRPr="00060016" w:rsidRDefault="0066447F" w:rsidP="00D737CA">
      <w:pPr>
        <w:spacing w:after="0" w:line="240" w:lineRule="auto"/>
        <w:rPr>
          <w:rFonts w:eastAsia="Times New Roman" w:cs="Tahoma"/>
          <w:color w:val="000000"/>
          <w:sz w:val="20"/>
          <w:szCs w:val="20"/>
          <w:lang w:eastAsia="pl-PL"/>
        </w:rPr>
      </w:pPr>
      <w:r w:rsidRPr="00060016">
        <w:rPr>
          <w:rFonts w:eastAsia="Times New Roman" w:cs="Tahoma"/>
          <w:color w:val="000000"/>
          <w:sz w:val="20"/>
          <w:szCs w:val="20"/>
          <w:lang w:eastAsia="pl-PL"/>
        </w:rPr>
        <w:t>1)</w:t>
      </w:r>
      <w:r w:rsidRPr="00060016">
        <w:rPr>
          <w:rFonts w:eastAsia="Times New Roman" w:cs="Tahoma"/>
          <w:color w:val="000000"/>
          <w:sz w:val="20"/>
          <w:szCs w:val="20"/>
          <w:lang w:eastAsia="pl-PL"/>
        </w:rPr>
        <w:t> </w:t>
      </w:r>
      <w:r w:rsidRPr="00060016">
        <w:rPr>
          <w:rFonts w:eastAsia="Times New Roman" w:cs="Tahoma"/>
          <w:color w:val="000000"/>
          <w:sz w:val="20"/>
          <w:szCs w:val="20"/>
          <w:lang w:eastAsia="pl-PL"/>
        </w:rPr>
        <w:t xml:space="preserve"> śmierci ubezpieczonego w wyniku działań wojennych, czynnego udziału w aktach terroru lub masowych rozruchach społecznych; </w:t>
      </w:r>
    </w:p>
    <w:p w14:paraId="4102A8F5" w14:textId="77777777" w:rsidR="0066447F" w:rsidRPr="00060016" w:rsidRDefault="0066447F" w:rsidP="00D737CA">
      <w:pPr>
        <w:spacing w:after="0" w:line="240" w:lineRule="auto"/>
        <w:rPr>
          <w:rFonts w:eastAsia="Times New Roman" w:cs="Tahoma"/>
          <w:color w:val="000000"/>
          <w:sz w:val="20"/>
          <w:szCs w:val="20"/>
          <w:lang w:eastAsia="pl-PL"/>
        </w:rPr>
      </w:pPr>
      <w:r w:rsidRPr="00060016">
        <w:rPr>
          <w:rFonts w:eastAsia="Times New Roman" w:cs="Tahoma"/>
          <w:color w:val="000000"/>
          <w:sz w:val="20"/>
          <w:szCs w:val="20"/>
          <w:lang w:eastAsia="pl-PL"/>
        </w:rPr>
        <w:t>2)</w:t>
      </w:r>
      <w:r w:rsidRPr="00060016">
        <w:rPr>
          <w:rFonts w:eastAsia="Times New Roman" w:cs="Tahoma"/>
          <w:color w:val="000000"/>
          <w:sz w:val="20"/>
          <w:szCs w:val="20"/>
          <w:lang w:eastAsia="pl-PL"/>
        </w:rPr>
        <w:t> </w:t>
      </w:r>
      <w:r w:rsidRPr="00060016">
        <w:rPr>
          <w:rFonts w:eastAsia="Times New Roman" w:cs="Tahoma"/>
          <w:color w:val="000000"/>
          <w:sz w:val="20"/>
          <w:szCs w:val="20"/>
          <w:lang w:eastAsia="pl-PL"/>
        </w:rPr>
        <w:t xml:space="preserve"> śmierci w wyniku popełnienia lub usiłowania popełnienia czynu wypełniającego ustawowe znamiona umyślnego przestępstwa; </w:t>
      </w:r>
    </w:p>
    <w:p w14:paraId="1E189EC4" w14:textId="77777777" w:rsidR="0066447F" w:rsidRPr="00060016" w:rsidRDefault="0066447F" w:rsidP="00D737CA">
      <w:pPr>
        <w:spacing w:after="0" w:line="240" w:lineRule="auto"/>
        <w:rPr>
          <w:rFonts w:eastAsia="Times New Roman" w:cs="Tahoma"/>
          <w:color w:val="000000"/>
          <w:sz w:val="20"/>
          <w:szCs w:val="20"/>
          <w:lang w:eastAsia="pl-PL"/>
        </w:rPr>
      </w:pPr>
      <w:r w:rsidRPr="00060016">
        <w:rPr>
          <w:rFonts w:eastAsia="Times New Roman" w:cs="Tahoma"/>
          <w:color w:val="000000"/>
          <w:sz w:val="20"/>
          <w:szCs w:val="20"/>
          <w:lang w:eastAsia="pl-PL"/>
        </w:rPr>
        <w:t>3)</w:t>
      </w:r>
      <w:r w:rsidRPr="00060016">
        <w:rPr>
          <w:rFonts w:eastAsia="Times New Roman" w:cs="Tahoma"/>
          <w:color w:val="000000"/>
          <w:sz w:val="20"/>
          <w:szCs w:val="20"/>
          <w:lang w:eastAsia="pl-PL"/>
        </w:rPr>
        <w:t> </w:t>
      </w:r>
      <w:r w:rsidRPr="00060016">
        <w:rPr>
          <w:rFonts w:eastAsia="Times New Roman" w:cs="Tahoma"/>
          <w:color w:val="000000"/>
          <w:sz w:val="20"/>
          <w:szCs w:val="20"/>
          <w:lang w:eastAsia="pl-PL"/>
        </w:rPr>
        <w:t>samobójstwa ubezpieczonego popełnionego w okresie </w:t>
      </w:r>
      <w:r w:rsidRPr="00060016">
        <w:rPr>
          <w:rFonts w:eastAsia="Times New Roman" w:cs="Tahoma"/>
          <w:color w:val="FF0000"/>
          <w:sz w:val="20"/>
          <w:szCs w:val="20"/>
          <w:lang w:eastAsia="pl-PL"/>
        </w:rPr>
        <w:t>2 lat </w:t>
      </w:r>
      <w:r w:rsidRPr="00060016">
        <w:rPr>
          <w:rFonts w:eastAsia="Times New Roman" w:cs="Tahoma"/>
          <w:color w:val="000000"/>
          <w:sz w:val="20"/>
          <w:szCs w:val="20"/>
          <w:lang w:eastAsia="pl-PL"/>
        </w:rPr>
        <w:t>od początku odpowiedzialności w stosunku do tego ubezpieczonego; </w:t>
      </w:r>
    </w:p>
    <w:p w14:paraId="318F7DED" w14:textId="77777777" w:rsidR="0066447F" w:rsidRPr="00060016" w:rsidRDefault="0066447F" w:rsidP="00D737CA">
      <w:pPr>
        <w:spacing w:after="0" w:line="240" w:lineRule="auto"/>
        <w:rPr>
          <w:rFonts w:eastAsia="Times New Roman" w:cs="Tahoma"/>
          <w:color w:val="000000"/>
          <w:sz w:val="20"/>
          <w:szCs w:val="20"/>
          <w:lang w:eastAsia="pl-PL"/>
        </w:rPr>
      </w:pPr>
      <w:r w:rsidRPr="00060016">
        <w:rPr>
          <w:rFonts w:eastAsia="Times New Roman" w:cs="Tahoma"/>
          <w:color w:val="000000"/>
          <w:sz w:val="20"/>
          <w:szCs w:val="20"/>
          <w:lang w:eastAsia="pl-PL"/>
        </w:rPr>
        <w:t>4)</w:t>
      </w:r>
      <w:r w:rsidRPr="00060016">
        <w:rPr>
          <w:rFonts w:eastAsia="Times New Roman" w:cs="Tahoma"/>
          <w:color w:val="000000"/>
          <w:sz w:val="20"/>
          <w:szCs w:val="20"/>
          <w:lang w:eastAsia="pl-PL"/>
        </w:rPr>
        <w:t> </w:t>
      </w:r>
      <w:r w:rsidRPr="00060016">
        <w:rPr>
          <w:rFonts w:eastAsia="Times New Roman" w:cs="Tahoma"/>
          <w:color w:val="000000"/>
          <w:sz w:val="20"/>
          <w:szCs w:val="20"/>
          <w:lang w:eastAsia="pl-PL"/>
        </w:rPr>
        <w:t xml:space="preserve"> śmierci w wyniku wypadku komunikacyjnego, gdy prowadził on pojazd będąc w stanie nietrzeźwości, pod wpływem narkotyków, środków odurzających, substancji psychotropowych lub środków zastępczych w rozumieniu przepisów o przeciwdziałaniu narkomanii, o ile okoliczności te miały wpływ na zajście zdarzenia.</w:t>
      </w:r>
    </w:p>
    <w:p w14:paraId="68DEB3D4" w14:textId="77777777" w:rsidR="0066447F" w:rsidRDefault="0066447F" w:rsidP="00D737CA">
      <w:pPr>
        <w:spacing w:after="0" w:line="240" w:lineRule="auto"/>
        <w:rPr>
          <w:rFonts w:eastAsia="Times New Roman" w:cs="Tahoma"/>
          <w:color w:val="000000"/>
          <w:sz w:val="20"/>
          <w:szCs w:val="20"/>
          <w:lang w:eastAsia="pl-PL"/>
        </w:rPr>
      </w:pPr>
    </w:p>
    <w:p w14:paraId="42A5B7D6" w14:textId="77777777" w:rsidR="0066447F" w:rsidRPr="00D737CA" w:rsidRDefault="0066447F" w:rsidP="00D737CA">
      <w:pPr>
        <w:spacing w:after="0" w:line="240" w:lineRule="auto"/>
        <w:rPr>
          <w:rFonts w:eastAsia="Times New Roman" w:cs="Tahoma"/>
          <w:color w:val="FF0000"/>
          <w:sz w:val="20"/>
          <w:szCs w:val="20"/>
          <w:lang w:eastAsia="pl-PL"/>
        </w:rPr>
      </w:pPr>
      <w:r w:rsidRPr="00D737CA">
        <w:rPr>
          <w:rFonts w:eastAsia="Times New Roman" w:cs="Tahoma"/>
          <w:color w:val="FF0000"/>
          <w:sz w:val="20"/>
          <w:szCs w:val="20"/>
          <w:lang w:eastAsia="pl-PL"/>
        </w:rPr>
        <w:t>W odpowiedzi Zamawiający odnośnie 1.1, 1.2, 1.4 wyraża zgodę na wyłączenia, w odniesieniu do 1.3 podtrzymuje okres wyłączenia 6 miesięcy.</w:t>
      </w:r>
    </w:p>
    <w:p w14:paraId="6A8A7531" w14:textId="77777777" w:rsidR="0066447F" w:rsidRPr="00D737CA" w:rsidRDefault="0066447F" w:rsidP="00D737CA">
      <w:pPr>
        <w:spacing w:before="100" w:beforeAutospacing="1" w:after="0" w:line="240" w:lineRule="auto"/>
        <w:rPr>
          <w:rFonts w:eastAsia="Times New Roman" w:cs="Tahoma"/>
          <w:color w:val="000000"/>
          <w:sz w:val="20"/>
          <w:szCs w:val="20"/>
          <w:lang w:eastAsia="pl-PL"/>
        </w:rPr>
      </w:pPr>
      <w:r w:rsidRPr="00D737CA">
        <w:rPr>
          <w:rFonts w:eastAsia="Times New Roman" w:cs="Tahoma"/>
          <w:b/>
          <w:bCs/>
          <w:color w:val="000000"/>
          <w:sz w:val="20"/>
          <w:szCs w:val="20"/>
          <w:lang w:eastAsia="pl-PL"/>
        </w:rPr>
        <w:t>2.</w:t>
      </w:r>
      <w:r w:rsidRPr="00D737CA">
        <w:rPr>
          <w:rFonts w:eastAsia="Times New Roman" w:cs="Tahoma"/>
          <w:color w:val="000000"/>
          <w:sz w:val="20"/>
          <w:szCs w:val="20"/>
          <w:lang w:eastAsia="pl-PL"/>
        </w:rPr>
        <w:t>     </w:t>
      </w:r>
      <w:r w:rsidRPr="00D737CA">
        <w:rPr>
          <w:rFonts w:eastAsia="Times New Roman" w:cs="Tahoma"/>
          <w:b/>
          <w:bCs/>
          <w:color w:val="000000"/>
          <w:sz w:val="20"/>
          <w:szCs w:val="20"/>
          <w:lang w:eastAsia="pl-PL"/>
        </w:rPr>
        <w:t>Załącznik nr 1 do SIWZ, punkt E.19</w:t>
      </w:r>
      <w:r w:rsidRPr="00D737CA">
        <w:rPr>
          <w:rFonts w:eastAsia="Times New Roman" w:cs="Tahoma"/>
          <w:color w:val="000000"/>
          <w:sz w:val="20"/>
          <w:szCs w:val="20"/>
          <w:lang w:eastAsia="pl-PL"/>
        </w:rPr>
        <w:t> - Czy Zamawiający zgodzi się, aby zastosowanie miała definicja Wykonawcy: „udar, który oznacza: nagłe ogniskowe lub uogólnione zaburzenie czynności mózgu, prowadzące do trwałych ubytków neurologicznych, wywołane wyłącznie przyczynami naczyniowymi rozumianymi jako zamknięcie światła lub przerwanie ciągłości ściany naczynia mózgowego, z wyjątkiem przyczyn naczyniowych spowodowanych chorobą mózgu lub wywołanych czynnikami urazowymi. Konieczne jest przedstawienie dowodów na utrwalone ubytki neurologiczne”, która to definicja swoim zakresem obejmuje również krwotok śródmózgowy. W takiej sytuacji Wykonawca przedstawiłby w miejsce dwóch jednostek chorobowych – jedną o wskazanej definicji.</w:t>
      </w:r>
    </w:p>
    <w:p w14:paraId="5CBEBA95" w14:textId="47C576F1" w:rsidR="0066447F" w:rsidRDefault="0066447F" w:rsidP="00D737CA">
      <w:pPr>
        <w:spacing w:after="0" w:line="240" w:lineRule="auto"/>
        <w:rPr>
          <w:rFonts w:eastAsia="Times New Roman" w:cs="Tahoma"/>
          <w:color w:val="FF0000"/>
          <w:sz w:val="20"/>
          <w:szCs w:val="20"/>
          <w:lang w:eastAsia="pl-PL"/>
        </w:rPr>
      </w:pPr>
      <w:r w:rsidRPr="00D737CA">
        <w:rPr>
          <w:rFonts w:eastAsia="Times New Roman" w:cs="Tahoma"/>
          <w:color w:val="FF0000"/>
          <w:sz w:val="20"/>
          <w:szCs w:val="20"/>
          <w:lang w:eastAsia="pl-PL"/>
        </w:rPr>
        <w:t>Zamawiający podtrzymuje dwie odrębne jednostki chorobowe krwotok śródmózgowy i udar mózgu.</w:t>
      </w:r>
    </w:p>
    <w:p w14:paraId="7D70C474" w14:textId="6A2D8C3A" w:rsidR="00B76E97" w:rsidRDefault="00B76E97" w:rsidP="00D737CA">
      <w:pPr>
        <w:spacing w:after="0" w:line="240" w:lineRule="auto"/>
        <w:rPr>
          <w:rFonts w:eastAsia="Times New Roman" w:cs="Tahoma"/>
          <w:color w:val="FF0000"/>
          <w:sz w:val="20"/>
          <w:szCs w:val="20"/>
          <w:lang w:eastAsia="pl-PL"/>
        </w:rPr>
      </w:pPr>
    </w:p>
    <w:p w14:paraId="70697119" w14:textId="27B81D1A" w:rsidR="00B76E97" w:rsidRPr="00D737CA" w:rsidRDefault="00B76E97" w:rsidP="00D737CA">
      <w:pPr>
        <w:spacing w:after="0" w:line="240" w:lineRule="auto"/>
        <w:rPr>
          <w:rFonts w:eastAsia="Times New Roman" w:cs="Tahoma"/>
          <w:color w:val="FF0000"/>
          <w:sz w:val="20"/>
          <w:szCs w:val="20"/>
          <w:lang w:eastAsia="pl-PL"/>
        </w:rPr>
      </w:pPr>
      <w:r>
        <w:rPr>
          <w:rFonts w:eastAsia="Times New Roman" w:cs="Tahoma"/>
          <w:color w:val="FF0000"/>
          <w:sz w:val="20"/>
          <w:szCs w:val="20"/>
          <w:lang w:eastAsia="pl-PL"/>
        </w:rPr>
        <w:t>Zamawiający informuje jednocześnie o zmianie załącznika NR 2 (STRUKTURA ZATRUDNIENIA), który przekazuje w załączniu.</w:t>
      </w:r>
      <w:bookmarkStart w:id="0" w:name="_GoBack"/>
      <w:bookmarkEnd w:id="0"/>
    </w:p>
    <w:p w14:paraId="6452E1BF" w14:textId="77777777" w:rsidR="00D737CA" w:rsidRPr="00D737CA" w:rsidRDefault="00D737CA" w:rsidP="00D737CA">
      <w:pPr>
        <w:spacing w:after="0" w:line="240" w:lineRule="auto"/>
        <w:jc w:val="both"/>
        <w:rPr>
          <w:rFonts w:cs="Times New Roman"/>
          <w:b/>
          <w:sz w:val="21"/>
          <w:szCs w:val="21"/>
        </w:rPr>
      </w:pPr>
    </w:p>
    <w:p w14:paraId="16F5BC0D" w14:textId="1C50D6F3" w:rsidR="0066447F" w:rsidRPr="00D737CA" w:rsidRDefault="0066447F" w:rsidP="00D737CA">
      <w:pPr>
        <w:spacing w:after="0" w:line="240" w:lineRule="auto"/>
        <w:jc w:val="both"/>
        <w:rPr>
          <w:rFonts w:cs="Times New Roman"/>
          <w:b/>
          <w:sz w:val="21"/>
          <w:szCs w:val="21"/>
        </w:rPr>
      </w:pPr>
      <w:r w:rsidRPr="00D737CA">
        <w:rPr>
          <w:rFonts w:cs="Times New Roman"/>
          <w:b/>
          <w:sz w:val="21"/>
          <w:szCs w:val="21"/>
        </w:rPr>
        <w:t>Zamawiający wyznacza nowe terminy składania i otwarcia ofert:</w:t>
      </w:r>
    </w:p>
    <w:p w14:paraId="59E16B6D" w14:textId="4C3E760B" w:rsidR="0066447F" w:rsidRPr="00D737CA" w:rsidRDefault="0066447F" w:rsidP="00D737CA">
      <w:pPr>
        <w:spacing w:after="0" w:line="240" w:lineRule="auto"/>
        <w:jc w:val="both"/>
        <w:rPr>
          <w:rFonts w:cs="Times New Roman"/>
          <w:b/>
          <w:color w:val="FF0000"/>
          <w:sz w:val="21"/>
          <w:szCs w:val="21"/>
        </w:rPr>
      </w:pPr>
      <w:r w:rsidRPr="00D737CA">
        <w:rPr>
          <w:rFonts w:cs="Times New Roman"/>
          <w:b/>
          <w:color w:val="FF0000"/>
          <w:sz w:val="21"/>
          <w:szCs w:val="21"/>
        </w:rPr>
        <w:t>Składanie do 07-08-2020 do godz</w:t>
      </w:r>
      <w:r w:rsidR="00D737CA" w:rsidRPr="00D737CA">
        <w:rPr>
          <w:rFonts w:cs="Times New Roman"/>
          <w:b/>
          <w:color w:val="FF0000"/>
          <w:sz w:val="21"/>
          <w:szCs w:val="21"/>
        </w:rPr>
        <w:t>.</w:t>
      </w:r>
      <w:r w:rsidRPr="00D737CA">
        <w:rPr>
          <w:rFonts w:cs="Times New Roman"/>
          <w:b/>
          <w:color w:val="FF0000"/>
          <w:sz w:val="21"/>
          <w:szCs w:val="21"/>
        </w:rPr>
        <w:t xml:space="preserve"> 09:30</w:t>
      </w:r>
    </w:p>
    <w:p w14:paraId="4B09CCE5" w14:textId="13436A47" w:rsidR="0066447F" w:rsidRPr="00D737CA" w:rsidRDefault="0066447F" w:rsidP="00D737CA">
      <w:pPr>
        <w:spacing w:after="0" w:line="240" w:lineRule="auto"/>
        <w:jc w:val="both"/>
        <w:rPr>
          <w:rFonts w:cs="Times New Roman"/>
          <w:b/>
          <w:color w:val="FF0000"/>
          <w:sz w:val="21"/>
          <w:szCs w:val="21"/>
        </w:rPr>
      </w:pPr>
      <w:r w:rsidRPr="00D737CA">
        <w:rPr>
          <w:rFonts w:cs="Times New Roman"/>
          <w:b/>
          <w:color w:val="FF0000"/>
          <w:sz w:val="21"/>
          <w:szCs w:val="21"/>
        </w:rPr>
        <w:t>Otwarcie odbędzie się 07-08-2020 o godz</w:t>
      </w:r>
      <w:r w:rsidR="00D737CA" w:rsidRPr="00D737CA">
        <w:rPr>
          <w:rFonts w:cs="Times New Roman"/>
          <w:b/>
          <w:color w:val="FF0000"/>
          <w:sz w:val="21"/>
          <w:szCs w:val="21"/>
        </w:rPr>
        <w:t>.</w:t>
      </w:r>
      <w:r w:rsidRPr="00D737CA">
        <w:rPr>
          <w:rFonts w:cs="Times New Roman"/>
          <w:b/>
          <w:color w:val="FF0000"/>
          <w:sz w:val="21"/>
          <w:szCs w:val="21"/>
        </w:rPr>
        <w:t xml:space="preserve"> 09:35</w:t>
      </w:r>
    </w:p>
    <w:p w14:paraId="3CB007C2" w14:textId="1C08C18B" w:rsidR="009E3933" w:rsidRPr="00D737CA" w:rsidRDefault="009E3933" w:rsidP="00D737CA">
      <w:pPr>
        <w:spacing w:after="0" w:line="240" w:lineRule="auto"/>
        <w:jc w:val="both"/>
        <w:rPr>
          <w:rFonts w:cs="Times New Roman"/>
          <w:b/>
          <w:sz w:val="21"/>
          <w:szCs w:val="21"/>
        </w:rPr>
      </w:pPr>
      <w:r w:rsidRPr="00D737CA">
        <w:rPr>
          <w:rFonts w:cs="Times New Roman"/>
          <w:b/>
          <w:sz w:val="21"/>
          <w:szCs w:val="21"/>
        </w:rPr>
        <w:t>Wykonawcy są zobowiązani uwzględnić powyższe wyjaśnienia oraz zapisy podczas sporządzania i składania ofert.</w:t>
      </w:r>
    </w:p>
    <w:p w14:paraId="657D1D7D" w14:textId="5284C98E" w:rsidR="00771121" w:rsidRPr="00D737CA" w:rsidRDefault="009E3933" w:rsidP="00D737CA">
      <w:pPr>
        <w:spacing w:after="0" w:line="240" w:lineRule="auto"/>
        <w:jc w:val="both"/>
        <w:rPr>
          <w:rFonts w:cs="Times New Roman"/>
          <w:sz w:val="21"/>
          <w:szCs w:val="21"/>
        </w:rPr>
      </w:pPr>
      <w:r w:rsidRPr="00D737CA">
        <w:rPr>
          <w:rFonts w:cs="Times New Roman"/>
          <w:sz w:val="21"/>
          <w:szCs w:val="21"/>
        </w:rPr>
        <w:tab/>
      </w:r>
      <w:r w:rsidRPr="00D737CA">
        <w:rPr>
          <w:rFonts w:cs="Times New Roman"/>
          <w:sz w:val="21"/>
          <w:szCs w:val="21"/>
        </w:rPr>
        <w:tab/>
        <w:t xml:space="preserve">   </w:t>
      </w:r>
    </w:p>
    <w:p w14:paraId="0BE13AF3" w14:textId="77777777" w:rsidR="009E3933" w:rsidRPr="002E611E" w:rsidRDefault="004421B0" w:rsidP="00D737CA">
      <w:pPr>
        <w:spacing w:after="0" w:line="240" w:lineRule="auto"/>
        <w:ind w:firstLine="6946"/>
        <w:jc w:val="both"/>
        <w:rPr>
          <w:rFonts w:ascii="Times New Roman" w:hAnsi="Times New Roman" w:cs="Times New Roman"/>
          <w:b/>
          <w:i/>
          <w:sz w:val="21"/>
          <w:szCs w:val="21"/>
        </w:rPr>
      </w:pPr>
      <w:r w:rsidRPr="002E611E">
        <w:rPr>
          <w:rFonts w:ascii="Times New Roman" w:hAnsi="Times New Roman" w:cs="Times New Roman"/>
          <w:b/>
          <w:sz w:val="21"/>
          <w:szCs w:val="21"/>
        </w:rPr>
        <w:t xml:space="preserve">   </w:t>
      </w:r>
      <w:r w:rsidR="009E3933" w:rsidRPr="002E611E">
        <w:rPr>
          <w:rFonts w:ascii="Times New Roman" w:hAnsi="Times New Roman" w:cs="Times New Roman"/>
          <w:b/>
          <w:sz w:val="21"/>
          <w:szCs w:val="21"/>
        </w:rPr>
        <w:t>Z poważaniem</w:t>
      </w:r>
      <w:r w:rsidR="009E3933" w:rsidRPr="002E611E">
        <w:rPr>
          <w:rFonts w:ascii="Times New Roman" w:hAnsi="Times New Roman" w:cs="Times New Roman"/>
          <w:b/>
          <w:i/>
          <w:sz w:val="21"/>
          <w:szCs w:val="21"/>
        </w:rPr>
        <w:t xml:space="preserve">   </w:t>
      </w:r>
    </w:p>
    <w:p w14:paraId="642D37BD" w14:textId="42EECB87" w:rsidR="00E755E4" w:rsidRPr="002E611E" w:rsidRDefault="00E755E4" w:rsidP="00D737CA">
      <w:pPr>
        <w:spacing w:after="0" w:line="240" w:lineRule="auto"/>
        <w:ind w:firstLine="6946"/>
        <w:jc w:val="both"/>
        <w:rPr>
          <w:rFonts w:ascii="Times New Roman" w:hAnsi="Times New Roman" w:cs="Times New Roman"/>
          <w:sz w:val="21"/>
          <w:szCs w:val="21"/>
        </w:rPr>
      </w:pPr>
      <w:r w:rsidRPr="002E611E">
        <w:rPr>
          <w:rFonts w:ascii="Times New Roman" w:hAnsi="Times New Roman" w:cs="Times New Roman"/>
          <w:b/>
          <w:i/>
          <w:sz w:val="21"/>
          <w:szCs w:val="21"/>
        </w:rPr>
        <w:tab/>
      </w:r>
      <w:r w:rsidRPr="002E611E">
        <w:rPr>
          <w:rFonts w:ascii="Times New Roman" w:hAnsi="Times New Roman" w:cs="Times New Roman"/>
          <w:sz w:val="21"/>
          <w:szCs w:val="21"/>
        </w:rPr>
        <w:tab/>
      </w:r>
      <w:r w:rsidRPr="002E611E">
        <w:rPr>
          <w:rFonts w:ascii="Times New Roman" w:hAnsi="Times New Roman" w:cs="Times New Roman"/>
          <w:sz w:val="21"/>
          <w:szCs w:val="21"/>
        </w:rPr>
        <w:tab/>
      </w:r>
    </w:p>
    <w:p w14:paraId="2A1C6FA1" w14:textId="6EAFC580" w:rsidR="00E755E4" w:rsidRDefault="006848A3" w:rsidP="00D737CA">
      <w:pPr>
        <w:spacing w:after="0" w:line="240" w:lineRule="auto"/>
        <w:ind w:firstLine="6946"/>
        <w:jc w:val="both"/>
        <w:rPr>
          <w:rFonts w:ascii="Times New Roman" w:hAnsi="Times New Roman" w:cs="Times New Roman"/>
          <w:sz w:val="21"/>
          <w:szCs w:val="21"/>
        </w:rPr>
      </w:pPr>
      <w:r>
        <w:rPr>
          <w:rFonts w:ascii="Times New Roman" w:hAnsi="Times New Roman" w:cs="Times New Roman"/>
          <w:sz w:val="21"/>
          <w:szCs w:val="21"/>
        </w:rPr>
        <w:t>Dyrektor SPSK-2</w:t>
      </w:r>
    </w:p>
    <w:p w14:paraId="6838C326" w14:textId="4E5469D4" w:rsidR="006848A3" w:rsidRPr="006848A3" w:rsidRDefault="006848A3" w:rsidP="00D737CA">
      <w:pPr>
        <w:spacing w:after="0" w:line="240" w:lineRule="auto"/>
        <w:ind w:firstLine="6946"/>
        <w:jc w:val="both"/>
        <w:rPr>
          <w:rFonts w:ascii="Times New Roman" w:hAnsi="Times New Roman" w:cs="Times New Roman"/>
          <w:sz w:val="16"/>
          <w:szCs w:val="16"/>
        </w:rPr>
      </w:pPr>
      <w:r>
        <w:rPr>
          <w:rFonts w:ascii="Times New Roman" w:hAnsi="Times New Roman" w:cs="Times New Roman"/>
          <w:sz w:val="16"/>
          <w:szCs w:val="16"/>
        </w:rPr>
        <w:t xml:space="preserve">  </w:t>
      </w:r>
      <w:r w:rsidRPr="006848A3">
        <w:rPr>
          <w:rFonts w:ascii="Times New Roman" w:hAnsi="Times New Roman" w:cs="Times New Roman"/>
          <w:sz w:val="16"/>
          <w:szCs w:val="16"/>
        </w:rPr>
        <w:t>/podpis w oryginale/</w:t>
      </w:r>
    </w:p>
    <w:p w14:paraId="258E9237" w14:textId="40F077B5" w:rsidR="00CA6E60" w:rsidRPr="002E611E" w:rsidRDefault="00CA6E60" w:rsidP="00D737CA">
      <w:pPr>
        <w:spacing w:after="0" w:line="240" w:lineRule="auto"/>
        <w:jc w:val="both"/>
        <w:rPr>
          <w:rFonts w:ascii="Times New Roman" w:hAnsi="Times New Roman" w:cs="Times New Roman"/>
          <w:b/>
          <w:i/>
          <w:sz w:val="21"/>
          <w:szCs w:val="21"/>
        </w:rPr>
      </w:pPr>
    </w:p>
    <w:p w14:paraId="698C0E1C" w14:textId="77777777" w:rsidR="00CA6E60" w:rsidRPr="002E611E" w:rsidRDefault="00CA6E60" w:rsidP="00D737CA">
      <w:pPr>
        <w:spacing w:after="0" w:line="240" w:lineRule="auto"/>
        <w:jc w:val="both"/>
        <w:rPr>
          <w:rFonts w:ascii="Times New Roman" w:hAnsi="Times New Roman" w:cs="Times New Roman"/>
          <w:b/>
          <w:i/>
          <w:sz w:val="21"/>
          <w:szCs w:val="21"/>
        </w:rPr>
      </w:pPr>
    </w:p>
    <w:p w14:paraId="3D0648F9" w14:textId="77777777" w:rsidR="00CA6E60" w:rsidRPr="002E611E" w:rsidRDefault="00CA6E60" w:rsidP="00D737CA">
      <w:pPr>
        <w:spacing w:after="0" w:line="240" w:lineRule="auto"/>
        <w:jc w:val="both"/>
        <w:rPr>
          <w:rFonts w:ascii="Times New Roman" w:hAnsi="Times New Roman" w:cs="Times New Roman"/>
          <w:b/>
          <w:i/>
          <w:sz w:val="21"/>
          <w:szCs w:val="21"/>
        </w:rPr>
      </w:pPr>
    </w:p>
    <w:p w14:paraId="352A5B83" w14:textId="77777777" w:rsidR="009C40A5" w:rsidRPr="00D737CA" w:rsidRDefault="009C40A5" w:rsidP="00D737CA">
      <w:pPr>
        <w:spacing w:after="0" w:line="240" w:lineRule="auto"/>
        <w:jc w:val="both"/>
        <w:rPr>
          <w:rFonts w:ascii="Times New Roman" w:hAnsi="Times New Roman" w:cs="Times New Roman"/>
          <w:b/>
          <w:i/>
          <w:sz w:val="16"/>
          <w:szCs w:val="16"/>
        </w:rPr>
      </w:pPr>
      <w:r w:rsidRPr="00D737CA">
        <w:rPr>
          <w:rFonts w:ascii="Times New Roman" w:hAnsi="Times New Roman" w:cs="Times New Roman"/>
          <w:b/>
          <w:i/>
          <w:sz w:val="16"/>
          <w:szCs w:val="16"/>
        </w:rPr>
        <w:t xml:space="preserve">Sprawę prowadzi: </w:t>
      </w:r>
    </w:p>
    <w:p w14:paraId="35058F60" w14:textId="77777777" w:rsidR="009C40A5" w:rsidRPr="00D737CA" w:rsidRDefault="009C40A5" w:rsidP="00D737CA">
      <w:pPr>
        <w:spacing w:after="0" w:line="240" w:lineRule="auto"/>
        <w:jc w:val="both"/>
        <w:rPr>
          <w:rFonts w:ascii="Times New Roman" w:hAnsi="Times New Roman" w:cs="Times New Roman"/>
          <w:b/>
          <w:i/>
          <w:sz w:val="16"/>
          <w:szCs w:val="16"/>
        </w:rPr>
      </w:pPr>
      <w:r w:rsidRPr="00D737CA">
        <w:rPr>
          <w:rFonts w:ascii="Times New Roman" w:hAnsi="Times New Roman" w:cs="Times New Roman"/>
          <w:b/>
          <w:i/>
          <w:sz w:val="16"/>
          <w:szCs w:val="16"/>
        </w:rPr>
        <w:t>Przemysław Frączek</w:t>
      </w:r>
    </w:p>
    <w:p w14:paraId="315A2719" w14:textId="77777777" w:rsidR="009C40A5" w:rsidRPr="002E611E" w:rsidRDefault="009C40A5" w:rsidP="00D737CA">
      <w:pPr>
        <w:spacing w:after="0" w:line="240" w:lineRule="auto"/>
        <w:jc w:val="both"/>
        <w:rPr>
          <w:rFonts w:ascii="Times New Roman" w:hAnsi="Times New Roman" w:cs="Times New Roman"/>
          <w:sz w:val="21"/>
          <w:szCs w:val="21"/>
        </w:rPr>
      </w:pPr>
      <w:r w:rsidRPr="00D737CA">
        <w:rPr>
          <w:rFonts w:ascii="Times New Roman" w:hAnsi="Times New Roman" w:cs="Times New Roman"/>
          <w:b/>
          <w:i/>
          <w:sz w:val="16"/>
          <w:szCs w:val="16"/>
        </w:rPr>
        <w:t>Tel. 91 466 1087</w:t>
      </w:r>
      <w:r w:rsidRPr="002E611E">
        <w:rPr>
          <w:rFonts w:ascii="Times New Roman" w:hAnsi="Times New Roman" w:cs="Times New Roman"/>
          <w:sz w:val="21"/>
          <w:szCs w:val="21"/>
        </w:rPr>
        <w:t xml:space="preserve">                      </w:t>
      </w:r>
    </w:p>
    <w:sectPr w:rsidR="009C40A5" w:rsidRPr="002E611E"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B76E97"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F36248"/>
    <w:multiLevelType w:val="hybridMultilevel"/>
    <w:tmpl w:val="F3FE2318"/>
    <w:lvl w:ilvl="0" w:tplc="1466CCF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09C0FBB"/>
    <w:multiLevelType w:val="hybridMultilevel"/>
    <w:tmpl w:val="2C02CCEC"/>
    <w:lvl w:ilvl="0" w:tplc="F88CB320">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BE3104A"/>
    <w:multiLevelType w:val="hybridMultilevel"/>
    <w:tmpl w:val="8710D02E"/>
    <w:lvl w:ilvl="0" w:tplc="D02838FC">
      <w:start w:val="1"/>
      <w:numFmt w:val="decimal"/>
      <w:lvlText w:val="%1)"/>
      <w:lvlJc w:val="left"/>
      <w:pPr>
        <w:ind w:left="1080" w:hanging="360"/>
      </w:pPr>
      <w:rPr>
        <w:rFonts w:cs="Times New Roman"/>
        <w:b/>
        <w:color w:val="555555"/>
        <w:sz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4"/>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7"/>
  </w:num>
  <w:num w:numId="11">
    <w:abstractNumId w:val="8"/>
  </w:num>
  <w:num w:numId="12">
    <w:abstractNumId w:val="1"/>
  </w:num>
  <w:num w:numId="13">
    <w:abstractNumId w:val="9"/>
  </w:num>
  <w:num w:numId="14">
    <w:abstractNumId w:val="11"/>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C1A7C"/>
    <w:rsid w:val="001D0CC1"/>
    <w:rsid w:val="001F44E4"/>
    <w:rsid w:val="001F6E98"/>
    <w:rsid w:val="002240FC"/>
    <w:rsid w:val="00233F7E"/>
    <w:rsid w:val="002575D8"/>
    <w:rsid w:val="00270C17"/>
    <w:rsid w:val="002765C3"/>
    <w:rsid w:val="002846C1"/>
    <w:rsid w:val="002A228B"/>
    <w:rsid w:val="002C02CE"/>
    <w:rsid w:val="002C7971"/>
    <w:rsid w:val="002E611E"/>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D160D"/>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33DD5"/>
    <w:rsid w:val="00635BEE"/>
    <w:rsid w:val="00643831"/>
    <w:rsid w:val="00651BFF"/>
    <w:rsid w:val="00655DC2"/>
    <w:rsid w:val="0066447F"/>
    <w:rsid w:val="0066474C"/>
    <w:rsid w:val="0067202F"/>
    <w:rsid w:val="006848A3"/>
    <w:rsid w:val="0069570F"/>
    <w:rsid w:val="006A05EA"/>
    <w:rsid w:val="006B5969"/>
    <w:rsid w:val="006E1440"/>
    <w:rsid w:val="006E683E"/>
    <w:rsid w:val="0072429A"/>
    <w:rsid w:val="00725ACF"/>
    <w:rsid w:val="00735774"/>
    <w:rsid w:val="00771121"/>
    <w:rsid w:val="00775378"/>
    <w:rsid w:val="007774B7"/>
    <w:rsid w:val="0079249F"/>
    <w:rsid w:val="007937C1"/>
    <w:rsid w:val="00793EEA"/>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9F4419"/>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76E97"/>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37CA"/>
    <w:rsid w:val="00D75614"/>
    <w:rsid w:val="00DA51AE"/>
    <w:rsid w:val="00DC20F1"/>
    <w:rsid w:val="00DC5C48"/>
    <w:rsid w:val="00DD3961"/>
    <w:rsid w:val="00DE562B"/>
    <w:rsid w:val="00E03A0D"/>
    <w:rsid w:val="00E12FF9"/>
    <w:rsid w:val="00E30739"/>
    <w:rsid w:val="00E451B7"/>
    <w:rsid w:val="00E5329C"/>
    <w:rsid w:val="00E61B4C"/>
    <w:rsid w:val="00E638D3"/>
    <w:rsid w:val="00E7419F"/>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Wypunktowanie"/>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Wypunktowanie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10</cp:revision>
  <cp:lastPrinted>2020-07-29T12:08:00Z</cp:lastPrinted>
  <dcterms:created xsi:type="dcterms:W3CDTF">2020-07-29T11:53:00Z</dcterms:created>
  <dcterms:modified xsi:type="dcterms:W3CDTF">2020-07-31T11:49:00Z</dcterms:modified>
</cp:coreProperties>
</file>