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638" w:type="dxa"/>
        <w:tblCellMar>
          <w:left w:w="70" w:type="dxa"/>
          <w:right w:w="70" w:type="dxa"/>
        </w:tblCellMar>
        <w:tblLook w:val="04A0" w:firstRow="1" w:lastRow="0" w:firstColumn="1" w:lastColumn="0" w:noHBand="0" w:noVBand="1"/>
      </w:tblPr>
      <w:tblGrid>
        <w:gridCol w:w="550"/>
        <w:gridCol w:w="7667"/>
        <w:gridCol w:w="725"/>
      </w:tblGrid>
      <w:tr w:rsidR="00AD32D5" w:rsidRPr="00364086" w14:paraId="611857B8" w14:textId="77777777" w:rsidTr="00AD32D5">
        <w:trPr>
          <w:trHeight w:val="300"/>
        </w:trPr>
        <w:tc>
          <w:tcPr>
            <w:tcW w:w="550" w:type="dxa"/>
            <w:tcBorders>
              <w:top w:val="single" w:sz="4" w:space="0" w:color="auto"/>
              <w:left w:val="single" w:sz="4" w:space="0" w:color="auto"/>
              <w:bottom w:val="single" w:sz="4" w:space="0" w:color="auto"/>
              <w:right w:val="single" w:sz="4" w:space="0" w:color="auto"/>
            </w:tcBorders>
            <w:shd w:val="clear" w:color="000000" w:fill="5B9BD5"/>
            <w:noWrap/>
            <w:vAlign w:val="center"/>
            <w:hideMark/>
          </w:tcPr>
          <w:p w14:paraId="19EE84EB" w14:textId="77777777" w:rsidR="00AD32D5" w:rsidRPr="00364086" w:rsidRDefault="00AD32D5" w:rsidP="00F67364">
            <w:pPr>
              <w:jc w:val="center"/>
              <w:rPr>
                <w:rFonts w:ascii="Czcionka tekstu podstawowego" w:eastAsia="Times New Roman" w:hAnsi="Czcionka tekstu podstawowego" w:cs="Calibri"/>
                <w:b/>
                <w:bCs/>
                <w:kern w:val="0"/>
                <w:lang w:eastAsia="pl-PL"/>
                <w14:ligatures w14:val="none"/>
              </w:rPr>
            </w:pPr>
            <w:bookmarkStart w:id="0" w:name="_Hlk169160868"/>
            <w:r w:rsidRPr="00364086">
              <w:rPr>
                <w:rFonts w:ascii="Czcionka tekstu podstawowego" w:eastAsia="Times New Roman" w:hAnsi="Czcionka tekstu podstawowego" w:cs="Calibri"/>
                <w:b/>
                <w:bCs/>
                <w:kern w:val="0"/>
                <w:lang w:eastAsia="pl-PL"/>
                <w14:ligatures w14:val="none"/>
              </w:rPr>
              <w:t>Lp.</w:t>
            </w:r>
          </w:p>
        </w:tc>
        <w:tc>
          <w:tcPr>
            <w:tcW w:w="7667" w:type="dxa"/>
            <w:tcBorders>
              <w:top w:val="single" w:sz="4" w:space="0" w:color="auto"/>
              <w:left w:val="nil"/>
              <w:bottom w:val="single" w:sz="4" w:space="0" w:color="auto"/>
              <w:right w:val="single" w:sz="4" w:space="0" w:color="auto"/>
            </w:tcBorders>
            <w:shd w:val="clear" w:color="000000" w:fill="5B9BD5"/>
            <w:noWrap/>
            <w:vAlign w:val="center"/>
            <w:hideMark/>
          </w:tcPr>
          <w:p w14:paraId="6E6DFA31" w14:textId="77777777" w:rsidR="00AD32D5" w:rsidRPr="00364086" w:rsidRDefault="00AD32D5" w:rsidP="00F67364">
            <w:pPr>
              <w:rPr>
                <w:rFonts w:ascii="Czcionka tekstu podstawowego" w:eastAsia="Times New Roman" w:hAnsi="Czcionka tekstu podstawowego" w:cs="Calibri"/>
                <w:b/>
                <w:bCs/>
                <w:kern w:val="0"/>
                <w:lang w:eastAsia="pl-PL"/>
                <w14:ligatures w14:val="none"/>
              </w:rPr>
            </w:pPr>
            <w:r w:rsidRPr="00364086">
              <w:rPr>
                <w:rFonts w:ascii="Czcionka tekstu podstawowego" w:eastAsia="Times New Roman" w:hAnsi="Czcionka tekstu podstawowego" w:cs="Calibri"/>
                <w:b/>
                <w:bCs/>
                <w:kern w:val="0"/>
                <w:lang w:eastAsia="pl-PL"/>
                <w14:ligatures w14:val="none"/>
              </w:rPr>
              <w:t>Nazwa:</w:t>
            </w:r>
          </w:p>
        </w:tc>
        <w:tc>
          <w:tcPr>
            <w:tcW w:w="421" w:type="dxa"/>
            <w:tcBorders>
              <w:top w:val="single" w:sz="4" w:space="0" w:color="auto"/>
              <w:left w:val="nil"/>
              <w:bottom w:val="single" w:sz="4" w:space="0" w:color="auto"/>
              <w:right w:val="single" w:sz="4" w:space="0" w:color="auto"/>
            </w:tcBorders>
            <w:shd w:val="clear" w:color="000000" w:fill="5B9BD5"/>
            <w:noWrap/>
            <w:vAlign w:val="bottom"/>
            <w:hideMark/>
          </w:tcPr>
          <w:p w14:paraId="0C242D4E" w14:textId="77777777" w:rsidR="00AD32D5" w:rsidRPr="00364086" w:rsidRDefault="00AD32D5" w:rsidP="00F67364">
            <w:pPr>
              <w:rPr>
                <w:rFonts w:ascii="Czcionka tekstu podstawowego" w:eastAsia="Times New Roman" w:hAnsi="Czcionka tekstu podstawowego" w:cs="Calibri"/>
                <w:b/>
                <w:bCs/>
                <w:kern w:val="0"/>
                <w:lang w:eastAsia="pl-PL"/>
                <w14:ligatures w14:val="none"/>
              </w:rPr>
            </w:pPr>
            <w:r w:rsidRPr="00364086">
              <w:rPr>
                <w:rFonts w:ascii="Czcionka tekstu podstawowego" w:eastAsia="Times New Roman" w:hAnsi="Czcionka tekstu podstawowego" w:cs="Calibri"/>
                <w:b/>
                <w:bCs/>
                <w:kern w:val="0"/>
                <w:lang w:eastAsia="pl-PL"/>
                <w14:ligatures w14:val="none"/>
              </w:rPr>
              <w:t>Ilość:</w:t>
            </w:r>
          </w:p>
        </w:tc>
      </w:tr>
      <w:bookmarkEnd w:id="0"/>
      <w:tr w:rsidR="00AD32D5" w:rsidRPr="00364086" w14:paraId="241B7FB2" w14:textId="77777777" w:rsidTr="003B35A0">
        <w:trPr>
          <w:trHeight w:val="3582"/>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7DEA086E"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sidRPr="00364086">
              <w:rPr>
                <w:rFonts w:ascii="Times New Roman" w:eastAsia="Times New Roman" w:hAnsi="Times New Roman" w:cs="Times New Roman"/>
                <w:b/>
                <w:bCs/>
                <w:kern w:val="0"/>
                <w:lang w:eastAsia="pl-PL"/>
                <w14:ligatures w14:val="none"/>
              </w:rPr>
              <w:t>1</w:t>
            </w:r>
          </w:p>
        </w:tc>
        <w:tc>
          <w:tcPr>
            <w:tcW w:w="7667" w:type="dxa"/>
            <w:tcBorders>
              <w:top w:val="nil"/>
              <w:left w:val="nil"/>
              <w:bottom w:val="single" w:sz="4" w:space="0" w:color="auto"/>
              <w:right w:val="single" w:sz="4" w:space="0" w:color="auto"/>
            </w:tcBorders>
            <w:shd w:val="clear" w:color="auto" w:fill="auto"/>
            <w:vAlign w:val="center"/>
            <w:hideMark/>
          </w:tcPr>
          <w:p w14:paraId="165254F5" w14:textId="77777777" w:rsidR="00AD32D5" w:rsidRPr="00364086" w:rsidRDefault="00AD32D5" w:rsidP="00F67364">
            <w:pPr>
              <w:rPr>
                <w:rFonts w:ascii="Times New Roman" w:eastAsia="Times New Roman" w:hAnsi="Times New Roman" w:cs="Times New Roman"/>
                <w:kern w:val="0"/>
                <w:lang w:eastAsia="pl-PL"/>
                <w14:ligatures w14:val="none"/>
              </w:rPr>
            </w:pPr>
            <w:r w:rsidRPr="00364086">
              <w:rPr>
                <w:rFonts w:ascii="Times New Roman" w:eastAsia="Times New Roman" w:hAnsi="Times New Roman" w:cs="Times New Roman"/>
                <w:b/>
                <w:bCs/>
                <w:kern w:val="0"/>
                <w:lang w:eastAsia="pl-PL"/>
                <w14:ligatures w14:val="none"/>
              </w:rPr>
              <w:t>Robot koszący</w:t>
            </w:r>
            <w:r w:rsidRPr="00364086">
              <w:rPr>
                <w:rFonts w:ascii="Times New Roman" w:eastAsia="Times New Roman" w:hAnsi="Times New Roman" w:cs="Times New Roman"/>
                <w:kern w:val="0"/>
                <w:lang w:eastAsia="pl-PL"/>
                <w14:ligatures w14:val="none"/>
              </w:rPr>
              <w:br/>
              <w:t>Wydajność robocza: 1500 m² ±20%</w:t>
            </w:r>
            <w:r w:rsidRPr="00364086">
              <w:rPr>
                <w:rFonts w:ascii="Times New Roman" w:eastAsia="Times New Roman" w:hAnsi="Times New Roman" w:cs="Times New Roman"/>
                <w:kern w:val="0"/>
                <w:lang w:eastAsia="pl-PL"/>
                <w14:ligatures w14:val="none"/>
              </w:rPr>
              <w:br/>
              <w:t xml:space="preserve">System ładowania: </w:t>
            </w:r>
            <w:r>
              <w:rPr>
                <w:rFonts w:ascii="Times New Roman" w:eastAsia="Times New Roman" w:hAnsi="Times New Roman" w:cs="Times New Roman"/>
                <w:kern w:val="0"/>
                <w:lang w:eastAsia="pl-PL"/>
                <w14:ligatures w14:val="none"/>
              </w:rPr>
              <w:t>a</w:t>
            </w:r>
            <w:r w:rsidRPr="00364086">
              <w:rPr>
                <w:rFonts w:ascii="Times New Roman" w:eastAsia="Times New Roman" w:hAnsi="Times New Roman" w:cs="Times New Roman"/>
                <w:kern w:val="0"/>
                <w:lang w:eastAsia="pl-PL"/>
                <w14:ligatures w14:val="none"/>
              </w:rPr>
              <w:t>utomatyczny</w:t>
            </w:r>
            <w:r w:rsidRPr="00364086">
              <w:rPr>
                <w:rFonts w:ascii="Times New Roman" w:eastAsia="Times New Roman" w:hAnsi="Times New Roman" w:cs="Times New Roman"/>
                <w:kern w:val="0"/>
                <w:lang w:eastAsia="pl-PL"/>
                <w14:ligatures w14:val="none"/>
              </w:rPr>
              <w:br/>
              <w:t>Maksymalne nachylenie terenu wewnątrz instalacji: 35 %</w:t>
            </w:r>
            <w:r w:rsidRPr="00364086">
              <w:rPr>
                <w:rFonts w:ascii="Times New Roman" w:eastAsia="Times New Roman" w:hAnsi="Times New Roman" w:cs="Times New Roman"/>
                <w:kern w:val="0"/>
                <w:lang w:eastAsia="pl-PL"/>
                <w14:ligatures w14:val="none"/>
              </w:rPr>
              <w:br/>
              <w:t>Możliwość sterowania przez aplikację smart system</w:t>
            </w:r>
            <w:r w:rsidRPr="00364086">
              <w:rPr>
                <w:rFonts w:ascii="Times New Roman" w:eastAsia="Times New Roman" w:hAnsi="Times New Roman" w:cs="Times New Roman"/>
                <w:kern w:val="0"/>
                <w:lang w:eastAsia="pl-PL"/>
                <w14:ligatures w14:val="none"/>
              </w:rPr>
              <w:br/>
              <w:t xml:space="preserve">Wyświetlacz: </w:t>
            </w:r>
            <w:r>
              <w:rPr>
                <w:rFonts w:ascii="Times New Roman" w:eastAsia="Times New Roman" w:hAnsi="Times New Roman" w:cs="Times New Roman"/>
                <w:kern w:val="0"/>
                <w:lang w:eastAsia="pl-PL"/>
                <w14:ligatures w14:val="none"/>
              </w:rPr>
              <w:t>g</w:t>
            </w:r>
            <w:r w:rsidRPr="00364086">
              <w:rPr>
                <w:rFonts w:ascii="Times New Roman" w:eastAsia="Times New Roman" w:hAnsi="Times New Roman" w:cs="Times New Roman"/>
                <w:kern w:val="0"/>
                <w:lang w:eastAsia="pl-PL"/>
                <w14:ligatures w14:val="none"/>
              </w:rPr>
              <w:t>raficzny wyświetlacz</w:t>
            </w:r>
            <w:r w:rsidRPr="00364086">
              <w:rPr>
                <w:rFonts w:ascii="Times New Roman" w:eastAsia="Times New Roman" w:hAnsi="Times New Roman" w:cs="Times New Roman"/>
                <w:kern w:val="0"/>
                <w:lang w:eastAsia="pl-PL"/>
                <w14:ligatures w14:val="none"/>
              </w:rPr>
              <w:br/>
              <w:t>Aktualizacja oprogramowania: USB</w:t>
            </w:r>
            <w:r w:rsidRPr="00364086">
              <w:rPr>
                <w:rFonts w:ascii="Times New Roman" w:eastAsia="Times New Roman" w:hAnsi="Times New Roman" w:cs="Times New Roman"/>
                <w:kern w:val="0"/>
                <w:lang w:eastAsia="pl-PL"/>
                <w14:ligatures w14:val="none"/>
              </w:rPr>
              <w:br/>
              <w:t>Klasa wodoszczelności: IPX5</w:t>
            </w:r>
            <w:r w:rsidRPr="00364086">
              <w:rPr>
                <w:rFonts w:ascii="Times New Roman" w:eastAsia="Times New Roman" w:hAnsi="Times New Roman" w:cs="Times New Roman"/>
                <w:kern w:val="0"/>
                <w:lang w:eastAsia="pl-PL"/>
                <w14:ligatures w14:val="none"/>
              </w:rPr>
              <w:br/>
              <w:t xml:space="preserve">Typ akumulatora: </w:t>
            </w:r>
            <w:proofErr w:type="spellStart"/>
            <w:r w:rsidRPr="00364086">
              <w:rPr>
                <w:rFonts w:ascii="Times New Roman" w:eastAsia="Times New Roman" w:hAnsi="Times New Roman" w:cs="Times New Roman"/>
                <w:kern w:val="0"/>
                <w:lang w:eastAsia="pl-PL"/>
                <w14:ligatures w14:val="none"/>
              </w:rPr>
              <w:t>Litowo</w:t>
            </w:r>
            <w:proofErr w:type="spellEnd"/>
            <w:r w:rsidRPr="00364086">
              <w:rPr>
                <w:rFonts w:ascii="Times New Roman" w:eastAsia="Times New Roman" w:hAnsi="Times New Roman" w:cs="Times New Roman"/>
                <w:kern w:val="0"/>
                <w:lang w:eastAsia="pl-PL"/>
                <w14:ligatures w14:val="none"/>
              </w:rPr>
              <w:t>-Jonowy</w:t>
            </w:r>
            <w:r w:rsidRPr="00364086">
              <w:rPr>
                <w:rFonts w:ascii="Times New Roman" w:eastAsia="Times New Roman" w:hAnsi="Times New Roman" w:cs="Times New Roman"/>
                <w:kern w:val="0"/>
                <w:lang w:eastAsia="pl-PL"/>
                <w14:ligatures w14:val="none"/>
              </w:rPr>
              <w:br/>
              <w:t>Standardowy czas ładowania: max.60 min</w:t>
            </w:r>
            <w:r w:rsidRPr="00364086">
              <w:rPr>
                <w:rFonts w:ascii="Times New Roman" w:eastAsia="Times New Roman" w:hAnsi="Times New Roman" w:cs="Times New Roman"/>
                <w:kern w:val="0"/>
                <w:lang w:eastAsia="pl-PL"/>
                <w14:ligatures w14:val="none"/>
              </w:rPr>
              <w:br/>
              <w:t>Standardowy czas koszenia po jednym ładowaniu: min. 65 min</w:t>
            </w:r>
            <w:r w:rsidRPr="00364086">
              <w:rPr>
                <w:rFonts w:ascii="Times New Roman" w:eastAsia="Times New Roman" w:hAnsi="Times New Roman" w:cs="Times New Roman"/>
                <w:kern w:val="0"/>
                <w:lang w:eastAsia="pl-PL"/>
                <w14:ligatures w14:val="none"/>
              </w:rPr>
              <w:br/>
              <w:t>Wysokość koszenia, min.-maks.: 20-50 mm</w:t>
            </w:r>
            <w:r w:rsidRPr="00364086">
              <w:rPr>
                <w:rFonts w:ascii="Times New Roman" w:eastAsia="Times New Roman" w:hAnsi="Times New Roman" w:cs="Times New Roman"/>
                <w:kern w:val="0"/>
                <w:lang w:eastAsia="pl-PL"/>
                <w14:ligatures w14:val="none"/>
              </w:rPr>
              <w:br/>
              <w:t>Szerokość koszenia: min. 22 cm</w:t>
            </w:r>
          </w:p>
        </w:tc>
        <w:tc>
          <w:tcPr>
            <w:tcW w:w="421" w:type="dxa"/>
            <w:tcBorders>
              <w:top w:val="nil"/>
              <w:left w:val="nil"/>
              <w:bottom w:val="single" w:sz="4" w:space="0" w:color="auto"/>
              <w:right w:val="single" w:sz="4" w:space="0" w:color="auto"/>
            </w:tcBorders>
            <w:shd w:val="clear" w:color="auto" w:fill="auto"/>
            <w:noWrap/>
            <w:vAlign w:val="center"/>
            <w:hideMark/>
          </w:tcPr>
          <w:p w14:paraId="6F91EB2E"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sidRPr="00364086">
              <w:rPr>
                <w:rFonts w:ascii="Times New Roman" w:eastAsia="Times New Roman" w:hAnsi="Times New Roman" w:cs="Times New Roman"/>
                <w:kern w:val="0"/>
                <w:lang w:eastAsia="pl-PL"/>
                <w14:ligatures w14:val="none"/>
              </w:rPr>
              <w:t>1</w:t>
            </w:r>
          </w:p>
        </w:tc>
      </w:tr>
      <w:tr w:rsidR="00AD32D5" w:rsidRPr="00364086" w14:paraId="08E2EF5C" w14:textId="77777777" w:rsidTr="00AD32D5">
        <w:trPr>
          <w:trHeight w:val="2581"/>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E8922"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sidRPr="00364086">
              <w:rPr>
                <w:rFonts w:ascii="Times New Roman" w:eastAsia="Times New Roman" w:hAnsi="Times New Roman" w:cs="Times New Roman"/>
                <w:b/>
                <w:bCs/>
                <w:kern w:val="0"/>
                <w:lang w:eastAsia="pl-PL"/>
                <w14:ligatures w14:val="none"/>
              </w:rPr>
              <w:t>2</w:t>
            </w:r>
          </w:p>
        </w:tc>
        <w:tc>
          <w:tcPr>
            <w:tcW w:w="7667" w:type="dxa"/>
            <w:tcBorders>
              <w:top w:val="single" w:sz="4" w:space="0" w:color="auto"/>
              <w:left w:val="nil"/>
              <w:bottom w:val="single" w:sz="4" w:space="0" w:color="auto"/>
              <w:right w:val="single" w:sz="4" w:space="0" w:color="auto"/>
            </w:tcBorders>
            <w:shd w:val="clear" w:color="auto" w:fill="auto"/>
            <w:hideMark/>
          </w:tcPr>
          <w:p w14:paraId="38DFC368" w14:textId="77777777" w:rsidR="00AD32D5" w:rsidRPr="00364086" w:rsidRDefault="00AD32D5" w:rsidP="00F67364">
            <w:pPr>
              <w:rPr>
                <w:rFonts w:ascii="Times New Roman" w:eastAsia="Times New Roman" w:hAnsi="Times New Roman" w:cs="Times New Roman"/>
                <w:kern w:val="0"/>
                <w:lang w:eastAsia="pl-PL"/>
                <w14:ligatures w14:val="none"/>
              </w:rPr>
            </w:pPr>
            <w:r w:rsidRPr="00364086">
              <w:rPr>
                <w:rFonts w:ascii="Times New Roman" w:eastAsia="Times New Roman" w:hAnsi="Times New Roman" w:cs="Times New Roman"/>
                <w:b/>
                <w:bCs/>
                <w:kern w:val="0"/>
                <w:lang w:eastAsia="pl-PL"/>
                <w14:ligatures w14:val="none"/>
              </w:rPr>
              <w:t>Glebogryzarka spalinowa</w:t>
            </w:r>
            <w:r w:rsidRPr="00364086">
              <w:rPr>
                <w:rFonts w:ascii="Times New Roman" w:eastAsia="Times New Roman" w:hAnsi="Times New Roman" w:cs="Times New Roman"/>
                <w:kern w:val="0"/>
                <w:lang w:eastAsia="pl-PL"/>
                <w14:ligatures w14:val="none"/>
              </w:rPr>
              <w:br/>
              <w:t>Ilość noży: 24</w:t>
            </w:r>
            <w:r w:rsidRPr="00364086">
              <w:rPr>
                <w:rFonts w:ascii="Times New Roman" w:eastAsia="Times New Roman" w:hAnsi="Times New Roman" w:cs="Times New Roman"/>
                <w:kern w:val="0"/>
                <w:lang w:eastAsia="pl-PL"/>
                <w14:ligatures w14:val="none"/>
              </w:rPr>
              <w:br/>
              <w:t>Moc: Nominalna 3.6 kW, Silnika 3600 W</w:t>
            </w:r>
            <w:r w:rsidRPr="00364086">
              <w:rPr>
                <w:rFonts w:ascii="Times New Roman" w:eastAsia="Times New Roman" w:hAnsi="Times New Roman" w:cs="Times New Roman"/>
                <w:kern w:val="0"/>
                <w:lang w:eastAsia="pl-PL"/>
                <w14:ligatures w14:val="none"/>
              </w:rPr>
              <w:br/>
              <w:t>System cięcia: Noże</w:t>
            </w:r>
            <w:r w:rsidRPr="00364086">
              <w:rPr>
                <w:rFonts w:ascii="Times New Roman" w:eastAsia="Times New Roman" w:hAnsi="Times New Roman" w:cs="Times New Roman"/>
                <w:kern w:val="0"/>
                <w:lang w:eastAsia="pl-PL"/>
                <w14:ligatures w14:val="none"/>
              </w:rPr>
              <w:br/>
              <w:t>Szerokość robocza [cm]: min. 75</w:t>
            </w:r>
            <w:r w:rsidRPr="00364086">
              <w:rPr>
                <w:rFonts w:ascii="Times New Roman" w:eastAsia="Times New Roman" w:hAnsi="Times New Roman" w:cs="Times New Roman"/>
                <w:kern w:val="0"/>
                <w:lang w:eastAsia="pl-PL"/>
                <w14:ligatures w14:val="none"/>
              </w:rPr>
              <w:br/>
              <w:t>Maksymalna średnica cięcia [mm]: 320</w:t>
            </w:r>
            <w:r w:rsidRPr="00364086">
              <w:rPr>
                <w:rFonts w:ascii="Times New Roman" w:eastAsia="Times New Roman" w:hAnsi="Times New Roman" w:cs="Times New Roman"/>
                <w:kern w:val="0"/>
                <w:lang w:eastAsia="pl-PL"/>
                <w14:ligatures w14:val="none"/>
              </w:rPr>
              <w:br/>
              <w:t>Napęd</w:t>
            </w:r>
            <w:r w:rsidRPr="00364086">
              <w:rPr>
                <w:rFonts w:ascii="Times New Roman" w:eastAsia="Times New Roman" w:hAnsi="Times New Roman" w:cs="Times New Roman"/>
                <w:kern w:val="0"/>
                <w:lang w:eastAsia="pl-PL"/>
                <w14:ligatures w14:val="none"/>
              </w:rPr>
              <w:br/>
              <w:t>Typ silnika: Spalinowy</w:t>
            </w:r>
            <w:r w:rsidRPr="00364086">
              <w:rPr>
                <w:rFonts w:ascii="Times New Roman" w:eastAsia="Times New Roman" w:hAnsi="Times New Roman" w:cs="Times New Roman"/>
                <w:kern w:val="0"/>
                <w:lang w:eastAsia="pl-PL"/>
                <w14:ligatures w14:val="none"/>
              </w:rPr>
              <w:br/>
              <w:t>Waga [kg]: 50</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7B582F64"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sidRPr="00364086">
              <w:rPr>
                <w:rFonts w:ascii="Times New Roman" w:eastAsia="Times New Roman" w:hAnsi="Times New Roman" w:cs="Times New Roman"/>
                <w:kern w:val="0"/>
                <w:lang w:eastAsia="pl-PL"/>
                <w14:ligatures w14:val="none"/>
              </w:rPr>
              <w:t>1</w:t>
            </w:r>
          </w:p>
        </w:tc>
      </w:tr>
      <w:tr w:rsidR="00AD32D5" w:rsidRPr="00364086" w14:paraId="1B0F7EE7" w14:textId="77777777" w:rsidTr="003B35A0">
        <w:trPr>
          <w:trHeight w:val="4209"/>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55C57"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sidRPr="00364086">
              <w:rPr>
                <w:rFonts w:ascii="Times New Roman" w:eastAsia="Times New Roman" w:hAnsi="Times New Roman" w:cs="Times New Roman"/>
                <w:b/>
                <w:bCs/>
                <w:kern w:val="0"/>
                <w:lang w:eastAsia="pl-PL"/>
                <w14:ligatures w14:val="none"/>
              </w:rPr>
              <w:t>3</w:t>
            </w:r>
          </w:p>
        </w:tc>
        <w:tc>
          <w:tcPr>
            <w:tcW w:w="7667" w:type="dxa"/>
            <w:tcBorders>
              <w:top w:val="single" w:sz="4" w:space="0" w:color="auto"/>
              <w:left w:val="nil"/>
              <w:bottom w:val="single" w:sz="4" w:space="0" w:color="auto"/>
              <w:right w:val="single" w:sz="4" w:space="0" w:color="auto"/>
            </w:tcBorders>
            <w:shd w:val="clear" w:color="auto" w:fill="auto"/>
            <w:vAlign w:val="center"/>
            <w:hideMark/>
          </w:tcPr>
          <w:p w14:paraId="39B426C2" w14:textId="77777777" w:rsidR="00AD32D5" w:rsidRPr="00364086" w:rsidRDefault="00AD32D5" w:rsidP="00F67364">
            <w:pPr>
              <w:rPr>
                <w:rFonts w:ascii="Times New Roman" w:eastAsia="Times New Roman" w:hAnsi="Times New Roman" w:cs="Times New Roman"/>
                <w:kern w:val="0"/>
                <w:lang w:eastAsia="pl-PL"/>
                <w14:ligatures w14:val="none"/>
              </w:rPr>
            </w:pPr>
            <w:r w:rsidRPr="00364086">
              <w:rPr>
                <w:rFonts w:ascii="Times New Roman" w:eastAsia="Times New Roman" w:hAnsi="Times New Roman" w:cs="Times New Roman"/>
                <w:b/>
                <w:bCs/>
                <w:kern w:val="0"/>
                <w:lang w:eastAsia="pl-PL"/>
                <w14:ligatures w14:val="none"/>
              </w:rPr>
              <w:t>Ciągnik jednoosiowy</w:t>
            </w:r>
            <w:r w:rsidRPr="00364086">
              <w:rPr>
                <w:rFonts w:ascii="Times New Roman" w:eastAsia="Times New Roman" w:hAnsi="Times New Roman" w:cs="Times New Roman"/>
                <w:kern w:val="0"/>
                <w:lang w:eastAsia="pl-PL"/>
                <w14:ligatures w14:val="none"/>
              </w:rPr>
              <w:t xml:space="preserve"> </w:t>
            </w:r>
            <w:r w:rsidRPr="00AD6CBF">
              <w:rPr>
                <w:rFonts w:ascii="Times New Roman" w:eastAsia="Times New Roman" w:hAnsi="Times New Roman" w:cs="Times New Roman"/>
                <w:b/>
                <w:bCs/>
                <w:kern w:val="0"/>
                <w:lang w:eastAsia="pl-PL"/>
                <w14:ligatures w14:val="none"/>
              </w:rPr>
              <w:t>z osprzętem</w:t>
            </w:r>
            <w:r w:rsidRPr="00364086">
              <w:rPr>
                <w:rFonts w:ascii="Times New Roman" w:eastAsia="Times New Roman" w:hAnsi="Times New Roman" w:cs="Times New Roman"/>
                <w:kern w:val="0"/>
                <w:lang w:eastAsia="pl-PL"/>
                <w14:ligatures w14:val="none"/>
              </w:rPr>
              <w:br/>
              <w:t>1. Ciągnik jednoosiowy, silnik spalinowy o mocy min. 4,8 KM. Ciągnik wyposażony jest w wał przeniesienia napędu co umożliwia pracę z osprzętem aktywnym. Jednostka wyposażona w przekładnie napędu i mechanizm różnicowy ułatwiający skręty.</w:t>
            </w:r>
            <w:r w:rsidRPr="00364086">
              <w:rPr>
                <w:rFonts w:ascii="Times New Roman" w:eastAsia="Times New Roman" w:hAnsi="Times New Roman" w:cs="Times New Roman"/>
                <w:kern w:val="0"/>
                <w:lang w:eastAsia="pl-PL"/>
                <w14:ligatures w14:val="none"/>
              </w:rPr>
              <w:br/>
              <w:t>2. Przyczepka transportowa do ciągnika do 500 kg</w:t>
            </w:r>
            <w:r w:rsidRPr="00364086">
              <w:rPr>
                <w:rFonts w:ascii="Times New Roman" w:eastAsia="Times New Roman" w:hAnsi="Times New Roman" w:cs="Times New Roman"/>
                <w:kern w:val="0"/>
                <w:lang w:eastAsia="pl-PL"/>
                <w14:ligatures w14:val="none"/>
              </w:rPr>
              <w:br/>
              <w:t>3. Pług,</w:t>
            </w:r>
            <w:r w:rsidRPr="00364086">
              <w:rPr>
                <w:rFonts w:ascii="Times New Roman" w:eastAsia="Times New Roman" w:hAnsi="Times New Roman" w:cs="Times New Roman"/>
                <w:kern w:val="0"/>
                <w:lang w:eastAsia="pl-PL"/>
                <w14:ligatures w14:val="none"/>
              </w:rPr>
              <w:br/>
              <w:t>4. Kosiarka rotacyjna,</w:t>
            </w:r>
            <w:r w:rsidRPr="00364086">
              <w:rPr>
                <w:rFonts w:ascii="Times New Roman" w:eastAsia="Times New Roman" w:hAnsi="Times New Roman" w:cs="Times New Roman"/>
                <w:kern w:val="0"/>
                <w:lang w:eastAsia="pl-PL"/>
                <w14:ligatures w14:val="none"/>
              </w:rPr>
              <w:br/>
              <w:t>5. Brona wirnikowa,</w:t>
            </w:r>
            <w:r w:rsidRPr="00364086">
              <w:rPr>
                <w:rFonts w:ascii="Times New Roman" w:eastAsia="Times New Roman" w:hAnsi="Times New Roman" w:cs="Times New Roman"/>
                <w:kern w:val="0"/>
                <w:lang w:eastAsia="pl-PL"/>
                <w14:ligatures w14:val="none"/>
              </w:rPr>
              <w:br/>
              <w:t>6. Narzędzie do pielenia.</w:t>
            </w:r>
            <w:r w:rsidRPr="00364086">
              <w:rPr>
                <w:rFonts w:ascii="Times New Roman" w:eastAsia="Times New Roman" w:hAnsi="Times New Roman" w:cs="Times New Roman"/>
                <w:kern w:val="0"/>
                <w:lang w:eastAsia="pl-PL"/>
                <w14:ligatures w14:val="none"/>
              </w:rPr>
              <w:br/>
              <w:t>7. Opielacz gryzący.</w:t>
            </w:r>
            <w:r w:rsidRPr="00364086">
              <w:rPr>
                <w:rFonts w:ascii="Times New Roman" w:eastAsia="Times New Roman" w:hAnsi="Times New Roman" w:cs="Times New Roman"/>
                <w:kern w:val="0"/>
                <w:lang w:eastAsia="pl-PL"/>
                <w14:ligatures w14:val="none"/>
              </w:rPr>
              <w:br/>
              <w:t>8. Pług do odśnieżania</w:t>
            </w:r>
            <w:r w:rsidRPr="00364086">
              <w:rPr>
                <w:rFonts w:ascii="Times New Roman" w:eastAsia="Times New Roman" w:hAnsi="Times New Roman" w:cs="Times New Roman"/>
                <w:kern w:val="0"/>
                <w:lang w:eastAsia="pl-PL"/>
                <w14:ligatures w14:val="none"/>
              </w:rPr>
              <w:br/>
              <w:t>9. Glebogryzarka</w:t>
            </w:r>
            <w:r w:rsidRPr="00364086">
              <w:rPr>
                <w:rFonts w:ascii="Times New Roman" w:eastAsia="Times New Roman" w:hAnsi="Times New Roman" w:cs="Times New Roman"/>
                <w:kern w:val="0"/>
                <w:lang w:eastAsia="pl-PL"/>
                <w14:ligatures w14:val="none"/>
              </w:rPr>
              <w:br/>
              <w:t>10. Materiały eksploatacyjne,</w:t>
            </w:r>
            <w:r w:rsidRPr="00364086">
              <w:rPr>
                <w:rFonts w:ascii="Times New Roman" w:eastAsia="Times New Roman" w:hAnsi="Times New Roman" w:cs="Times New Roman"/>
                <w:kern w:val="0"/>
                <w:lang w:eastAsia="pl-PL"/>
                <w14:ligatures w14:val="none"/>
              </w:rPr>
              <w:br/>
              <w:t xml:space="preserve">11. Łączniki do mocowania narzędzi. </w:t>
            </w:r>
          </w:p>
        </w:tc>
        <w:tc>
          <w:tcPr>
            <w:tcW w:w="421" w:type="dxa"/>
            <w:tcBorders>
              <w:top w:val="single" w:sz="4" w:space="0" w:color="auto"/>
              <w:left w:val="nil"/>
              <w:bottom w:val="single" w:sz="4" w:space="0" w:color="auto"/>
              <w:right w:val="single" w:sz="4" w:space="0" w:color="auto"/>
            </w:tcBorders>
            <w:shd w:val="clear" w:color="auto" w:fill="auto"/>
            <w:noWrap/>
            <w:vAlign w:val="center"/>
            <w:hideMark/>
          </w:tcPr>
          <w:p w14:paraId="4F3FC04F"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sidRPr="00364086">
              <w:rPr>
                <w:rFonts w:ascii="Times New Roman" w:eastAsia="Times New Roman" w:hAnsi="Times New Roman" w:cs="Times New Roman"/>
                <w:kern w:val="0"/>
                <w:lang w:eastAsia="pl-PL"/>
                <w14:ligatures w14:val="none"/>
              </w:rPr>
              <w:t>1</w:t>
            </w:r>
          </w:p>
        </w:tc>
      </w:tr>
      <w:tr w:rsidR="00AD32D5" w:rsidRPr="00364086" w14:paraId="0F33E47B" w14:textId="77777777" w:rsidTr="00AD32D5">
        <w:trPr>
          <w:trHeight w:val="478"/>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41931"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Pr>
                <w:rFonts w:ascii="Times New Roman" w:eastAsia="Times New Roman" w:hAnsi="Times New Roman" w:cs="Times New Roman"/>
                <w:b/>
                <w:bCs/>
                <w:kern w:val="0"/>
                <w:lang w:eastAsia="pl-PL"/>
                <w14:ligatures w14:val="none"/>
              </w:rPr>
              <w:lastRenderedPageBreak/>
              <w:t>4</w:t>
            </w:r>
          </w:p>
        </w:tc>
        <w:tc>
          <w:tcPr>
            <w:tcW w:w="7667" w:type="dxa"/>
            <w:tcBorders>
              <w:top w:val="single" w:sz="4" w:space="0" w:color="auto"/>
              <w:left w:val="nil"/>
              <w:bottom w:val="single" w:sz="4" w:space="0" w:color="auto"/>
              <w:right w:val="single" w:sz="4" w:space="0" w:color="auto"/>
            </w:tcBorders>
            <w:shd w:val="clear" w:color="auto" w:fill="auto"/>
            <w:vAlign w:val="center"/>
          </w:tcPr>
          <w:p w14:paraId="32C74C43" w14:textId="77777777" w:rsidR="00AD32D5" w:rsidRPr="00364086" w:rsidRDefault="00AD32D5" w:rsidP="00F67364">
            <w:pPr>
              <w:rPr>
                <w:rFonts w:ascii="Times New Roman" w:eastAsia="Times New Roman" w:hAnsi="Times New Roman" w:cs="Times New Roman"/>
                <w:b/>
                <w:bCs/>
                <w:kern w:val="0"/>
                <w:lang w:eastAsia="pl-PL"/>
                <w14:ligatures w14:val="none"/>
              </w:rPr>
            </w:pPr>
            <w:r w:rsidRPr="005413CB">
              <w:rPr>
                <w:rFonts w:ascii="Times New Roman" w:eastAsia="Times New Roman" w:hAnsi="Times New Roman" w:cs="Times New Roman"/>
                <w:b/>
                <w:bCs/>
                <w:kern w:val="0"/>
                <w:lang w:eastAsia="pl-PL"/>
                <w14:ligatures w14:val="none"/>
              </w:rPr>
              <w:t xml:space="preserve">Motyczka ogrodowa </w:t>
            </w:r>
            <w:r>
              <w:rPr>
                <w:rFonts w:ascii="Times New Roman" w:eastAsia="Times New Roman" w:hAnsi="Times New Roman" w:cs="Times New Roman"/>
                <w:b/>
                <w:bCs/>
                <w:kern w:val="0"/>
                <w:lang w:eastAsia="pl-PL"/>
                <w14:ligatures w14:val="none"/>
              </w:rPr>
              <w:br/>
            </w:r>
            <w:proofErr w:type="spellStart"/>
            <w:r w:rsidRPr="00E65C4A">
              <w:rPr>
                <w:rFonts w:ascii="Times New Roman" w:eastAsia="Times New Roman" w:hAnsi="Times New Roman" w:cs="Times New Roman"/>
                <w:kern w:val="0"/>
                <w:lang w:eastAsia="pl-PL"/>
                <w14:ligatures w14:val="none"/>
              </w:rPr>
              <w:t>haczka</w:t>
            </w:r>
            <w:proofErr w:type="spellEnd"/>
            <w:r w:rsidRPr="00E65C4A">
              <w:rPr>
                <w:rFonts w:ascii="Times New Roman" w:eastAsia="Times New Roman" w:hAnsi="Times New Roman" w:cs="Times New Roman"/>
                <w:kern w:val="0"/>
                <w:lang w:eastAsia="pl-PL"/>
                <w14:ligatures w14:val="none"/>
              </w:rPr>
              <w:t xml:space="preserve"> z widełkami, stalowa. Narzędzie 2w1 - motyczka i widełki zintegrowanym uchwytem.</w:t>
            </w:r>
          </w:p>
        </w:tc>
        <w:tc>
          <w:tcPr>
            <w:tcW w:w="421" w:type="dxa"/>
            <w:tcBorders>
              <w:top w:val="single" w:sz="4" w:space="0" w:color="auto"/>
              <w:left w:val="nil"/>
              <w:bottom w:val="single" w:sz="4" w:space="0" w:color="auto"/>
              <w:right w:val="single" w:sz="4" w:space="0" w:color="auto"/>
            </w:tcBorders>
            <w:shd w:val="clear" w:color="auto" w:fill="auto"/>
            <w:noWrap/>
            <w:vAlign w:val="center"/>
          </w:tcPr>
          <w:p w14:paraId="22C5698D"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20</w:t>
            </w:r>
          </w:p>
        </w:tc>
      </w:tr>
      <w:tr w:rsidR="00AD32D5" w:rsidRPr="00364086" w14:paraId="63614BFD" w14:textId="77777777" w:rsidTr="00AD32D5">
        <w:trPr>
          <w:trHeight w:val="479"/>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0FA48"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Pr>
                <w:rFonts w:ascii="Times New Roman" w:eastAsia="Times New Roman" w:hAnsi="Times New Roman" w:cs="Times New Roman"/>
                <w:b/>
                <w:bCs/>
                <w:kern w:val="0"/>
                <w:lang w:eastAsia="pl-PL"/>
                <w14:ligatures w14:val="none"/>
              </w:rPr>
              <w:t>5</w:t>
            </w:r>
          </w:p>
        </w:tc>
        <w:tc>
          <w:tcPr>
            <w:tcW w:w="7667" w:type="dxa"/>
            <w:tcBorders>
              <w:top w:val="single" w:sz="4" w:space="0" w:color="auto"/>
              <w:left w:val="nil"/>
              <w:bottom w:val="single" w:sz="4" w:space="0" w:color="auto"/>
              <w:right w:val="single" w:sz="4" w:space="0" w:color="auto"/>
            </w:tcBorders>
            <w:shd w:val="clear" w:color="auto" w:fill="auto"/>
            <w:vAlign w:val="center"/>
          </w:tcPr>
          <w:p w14:paraId="701E6D73" w14:textId="77777777" w:rsidR="00AD32D5" w:rsidRDefault="00AD32D5" w:rsidP="00F67364">
            <w:pPr>
              <w:rPr>
                <w:rFonts w:ascii="Times New Roman" w:eastAsia="Times New Roman" w:hAnsi="Times New Roman" w:cs="Times New Roman"/>
                <w:kern w:val="0"/>
                <w:lang w:eastAsia="pl-PL"/>
                <w14:ligatures w14:val="none"/>
              </w:rPr>
            </w:pPr>
            <w:r w:rsidRPr="005413CB">
              <w:rPr>
                <w:rFonts w:ascii="Times New Roman" w:eastAsia="Times New Roman" w:hAnsi="Times New Roman" w:cs="Times New Roman"/>
                <w:b/>
                <w:bCs/>
                <w:kern w:val="0"/>
                <w:lang w:eastAsia="pl-PL"/>
                <w14:ligatures w14:val="none"/>
              </w:rPr>
              <w:t xml:space="preserve">Łopatka </w:t>
            </w:r>
            <w:r>
              <w:rPr>
                <w:rFonts w:ascii="Times New Roman" w:eastAsia="Times New Roman" w:hAnsi="Times New Roman" w:cs="Times New Roman"/>
                <w:b/>
                <w:bCs/>
                <w:kern w:val="0"/>
                <w:lang w:eastAsia="pl-PL"/>
                <w14:ligatures w14:val="none"/>
              </w:rPr>
              <w:br/>
            </w:r>
            <w:r w:rsidRPr="00D17C91">
              <w:rPr>
                <w:rFonts w:ascii="Times New Roman" w:eastAsia="Times New Roman" w:hAnsi="Times New Roman" w:cs="Times New Roman"/>
                <w:kern w:val="0"/>
                <w:lang w:eastAsia="pl-PL"/>
                <w14:ligatures w14:val="none"/>
              </w:rPr>
              <w:t>140 mm</w:t>
            </w:r>
          </w:p>
          <w:p w14:paraId="5A59D80D"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stalowa</w:t>
            </w:r>
          </w:p>
        </w:tc>
        <w:tc>
          <w:tcPr>
            <w:tcW w:w="421" w:type="dxa"/>
            <w:tcBorders>
              <w:top w:val="single" w:sz="4" w:space="0" w:color="auto"/>
              <w:left w:val="nil"/>
              <w:bottom w:val="single" w:sz="4" w:space="0" w:color="auto"/>
              <w:right w:val="single" w:sz="4" w:space="0" w:color="auto"/>
            </w:tcBorders>
            <w:shd w:val="clear" w:color="auto" w:fill="auto"/>
            <w:noWrap/>
            <w:vAlign w:val="center"/>
          </w:tcPr>
          <w:p w14:paraId="43C24D8E"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20</w:t>
            </w:r>
          </w:p>
        </w:tc>
      </w:tr>
      <w:tr w:rsidR="00AD32D5" w:rsidRPr="00364086" w14:paraId="0B3A4490" w14:textId="77777777" w:rsidTr="00AD32D5">
        <w:trPr>
          <w:trHeight w:val="762"/>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D1ABA"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Pr>
                <w:rFonts w:ascii="Times New Roman" w:eastAsia="Times New Roman" w:hAnsi="Times New Roman" w:cs="Times New Roman"/>
                <w:b/>
                <w:bCs/>
                <w:kern w:val="0"/>
                <w:lang w:eastAsia="pl-PL"/>
                <w14:ligatures w14:val="none"/>
              </w:rPr>
              <w:t>6</w:t>
            </w:r>
          </w:p>
        </w:tc>
        <w:tc>
          <w:tcPr>
            <w:tcW w:w="7667" w:type="dxa"/>
            <w:tcBorders>
              <w:top w:val="single" w:sz="4" w:space="0" w:color="auto"/>
              <w:left w:val="nil"/>
              <w:bottom w:val="single" w:sz="4" w:space="0" w:color="auto"/>
              <w:right w:val="single" w:sz="4" w:space="0" w:color="auto"/>
            </w:tcBorders>
            <w:shd w:val="clear" w:color="auto" w:fill="auto"/>
            <w:vAlign w:val="center"/>
          </w:tcPr>
          <w:p w14:paraId="59E72809" w14:textId="77777777" w:rsidR="00AD32D5" w:rsidRPr="00364086" w:rsidRDefault="00AD32D5" w:rsidP="00F67364">
            <w:pPr>
              <w:rPr>
                <w:rFonts w:ascii="Times New Roman" w:eastAsia="Times New Roman" w:hAnsi="Times New Roman" w:cs="Times New Roman"/>
                <w:b/>
                <w:bCs/>
                <w:kern w:val="0"/>
                <w:lang w:eastAsia="pl-PL"/>
                <w14:ligatures w14:val="none"/>
              </w:rPr>
            </w:pPr>
            <w:r w:rsidRPr="005413CB">
              <w:rPr>
                <w:rFonts w:ascii="Times New Roman" w:eastAsia="Times New Roman" w:hAnsi="Times New Roman" w:cs="Times New Roman"/>
                <w:b/>
                <w:bCs/>
                <w:kern w:val="0"/>
                <w:lang w:eastAsia="pl-PL"/>
                <w14:ligatures w14:val="none"/>
              </w:rPr>
              <w:t>Sekator ogrodowy nożycowy stalowy</w:t>
            </w:r>
            <w:r>
              <w:rPr>
                <w:rFonts w:ascii="Times New Roman" w:eastAsia="Times New Roman" w:hAnsi="Times New Roman" w:cs="Times New Roman"/>
                <w:b/>
                <w:bCs/>
                <w:kern w:val="0"/>
                <w:lang w:eastAsia="pl-PL"/>
                <w14:ligatures w14:val="none"/>
              </w:rPr>
              <w:br/>
            </w:r>
            <w:r w:rsidRPr="00D17C91">
              <w:rPr>
                <w:rFonts w:ascii="Times New Roman" w:eastAsia="Times New Roman" w:hAnsi="Times New Roman" w:cs="Times New Roman"/>
                <w:kern w:val="0"/>
                <w:lang w:eastAsia="pl-PL"/>
                <w14:ligatures w14:val="none"/>
              </w:rPr>
              <w:t>jednoręczny</w:t>
            </w:r>
          </w:p>
        </w:tc>
        <w:tc>
          <w:tcPr>
            <w:tcW w:w="421" w:type="dxa"/>
            <w:tcBorders>
              <w:top w:val="single" w:sz="4" w:space="0" w:color="auto"/>
              <w:left w:val="nil"/>
              <w:bottom w:val="single" w:sz="4" w:space="0" w:color="auto"/>
              <w:right w:val="single" w:sz="4" w:space="0" w:color="auto"/>
            </w:tcBorders>
            <w:shd w:val="clear" w:color="auto" w:fill="auto"/>
            <w:noWrap/>
            <w:vAlign w:val="center"/>
          </w:tcPr>
          <w:p w14:paraId="13F7D2A4"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20</w:t>
            </w:r>
          </w:p>
        </w:tc>
      </w:tr>
      <w:tr w:rsidR="00AD32D5" w:rsidRPr="00364086" w14:paraId="629D2B4B" w14:textId="77777777" w:rsidTr="00AD32D5">
        <w:trPr>
          <w:trHeight w:val="561"/>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4ED8D"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Pr>
                <w:rFonts w:ascii="Times New Roman" w:eastAsia="Times New Roman" w:hAnsi="Times New Roman" w:cs="Times New Roman"/>
                <w:b/>
                <w:bCs/>
                <w:kern w:val="0"/>
                <w:lang w:eastAsia="pl-PL"/>
                <w14:ligatures w14:val="none"/>
              </w:rPr>
              <w:t>7</w:t>
            </w:r>
          </w:p>
        </w:tc>
        <w:tc>
          <w:tcPr>
            <w:tcW w:w="7667" w:type="dxa"/>
            <w:tcBorders>
              <w:top w:val="single" w:sz="4" w:space="0" w:color="auto"/>
              <w:left w:val="nil"/>
              <w:bottom w:val="single" w:sz="4" w:space="0" w:color="auto"/>
              <w:right w:val="single" w:sz="4" w:space="0" w:color="auto"/>
            </w:tcBorders>
            <w:shd w:val="clear" w:color="auto" w:fill="auto"/>
            <w:vAlign w:val="center"/>
          </w:tcPr>
          <w:p w14:paraId="1BFA1EA1" w14:textId="77777777" w:rsidR="00AD32D5" w:rsidRPr="00364086" w:rsidRDefault="00AD32D5" w:rsidP="00F67364">
            <w:pPr>
              <w:rPr>
                <w:rFonts w:ascii="Times New Roman" w:eastAsia="Times New Roman" w:hAnsi="Times New Roman" w:cs="Times New Roman"/>
                <w:b/>
                <w:bCs/>
                <w:kern w:val="0"/>
                <w:lang w:eastAsia="pl-PL"/>
                <w14:ligatures w14:val="none"/>
              </w:rPr>
            </w:pPr>
            <w:r w:rsidRPr="005413CB">
              <w:rPr>
                <w:rFonts w:ascii="Times New Roman" w:eastAsia="Times New Roman" w:hAnsi="Times New Roman" w:cs="Times New Roman"/>
                <w:b/>
                <w:bCs/>
                <w:kern w:val="0"/>
                <w:lang w:eastAsia="pl-PL"/>
                <w14:ligatures w14:val="none"/>
              </w:rPr>
              <w:t>Podkładka pod kolana</w:t>
            </w:r>
            <w:r>
              <w:rPr>
                <w:rFonts w:ascii="Times New Roman" w:eastAsia="Times New Roman" w:hAnsi="Times New Roman" w:cs="Times New Roman"/>
                <w:b/>
                <w:bCs/>
                <w:kern w:val="0"/>
                <w:lang w:eastAsia="pl-PL"/>
                <w14:ligatures w14:val="none"/>
              </w:rPr>
              <w:br/>
            </w:r>
            <w:r w:rsidRPr="00D17C91">
              <w:rPr>
                <w:rFonts w:ascii="Times New Roman" w:eastAsia="Times New Roman" w:hAnsi="Times New Roman" w:cs="Times New Roman"/>
                <w:kern w:val="0"/>
                <w:lang w:eastAsia="pl-PL"/>
                <w14:ligatures w14:val="none"/>
              </w:rPr>
              <w:t>miękka</w:t>
            </w:r>
          </w:p>
        </w:tc>
        <w:tc>
          <w:tcPr>
            <w:tcW w:w="421" w:type="dxa"/>
            <w:tcBorders>
              <w:top w:val="single" w:sz="4" w:space="0" w:color="auto"/>
              <w:left w:val="nil"/>
              <w:bottom w:val="single" w:sz="4" w:space="0" w:color="auto"/>
              <w:right w:val="single" w:sz="4" w:space="0" w:color="auto"/>
            </w:tcBorders>
            <w:shd w:val="clear" w:color="auto" w:fill="auto"/>
            <w:noWrap/>
            <w:vAlign w:val="center"/>
          </w:tcPr>
          <w:p w14:paraId="6575C93F"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20</w:t>
            </w:r>
          </w:p>
        </w:tc>
      </w:tr>
      <w:tr w:rsidR="00AD32D5" w:rsidRPr="00364086" w14:paraId="28433986" w14:textId="77777777" w:rsidTr="00AD32D5">
        <w:trPr>
          <w:trHeight w:val="568"/>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2CC30"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Pr>
                <w:rFonts w:ascii="Times New Roman" w:eastAsia="Times New Roman" w:hAnsi="Times New Roman" w:cs="Times New Roman"/>
                <w:b/>
                <w:bCs/>
                <w:kern w:val="0"/>
                <w:lang w:eastAsia="pl-PL"/>
                <w14:ligatures w14:val="none"/>
              </w:rPr>
              <w:t>8</w:t>
            </w:r>
          </w:p>
        </w:tc>
        <w:tc>
          <w:tcPr>
            <w:tcW w:w="7667" w:type="dxa"/>
            <w:tcBorders>
              <w:top w:val="single" w:sz="4" w:space="0" w:color="auto"/>
              <w:left w:val="nil"/>
              <w:bottom w:val="single" w:sz="4" w:space="0" w:color="auto"/>
              <w:right w:val="single" w:sz="4" w:space="0" w:color="auto"/>
            </w:tcBorders>
            <w:shd w:val="clear" w:color="auto" w:fill="auto"/>
            <w:vAlign w:val="center"/>
          </w:tcPr>
          <w:p w14:paraId="14B03584" w14:textId="77777777" w:rsidR="00AD32D5" w:rsidRPr="00E65C4A" w:rsidRDefault="00AD32D5" w:rsidP="00F67364">
            <w:pPr>
              <w:rPr>
                <w:rFonts w:ascii="Times New Roman" w:eastAsia="Times New Roman" w:hAnsi="Times New Roman" w:cs="Times New Roman"/>
                <w:kern w:val="0"/>
                <w:lang w:eastAsia="pl-PL"/>
                <w14:ligatures w14:val="none"/>
              </w:rPr>
            </w:pPr>
            <w:r w:rsidRPr="005413CB">
              <w:rPr>
                <w:rFonts w:ascii="Times New Roman" w:eastAsia="Times New Roman" w:hAnsi="Times New Roman" w:cs="Times New Roman"/>
                <w:b/>
                <w:bCs/>
                <w:kern w:val="0"/>
                <w:lang w:eastAsia="pl-PL"/>
                <w14:ligatures w14:val="none"/>
              </w:rPr>
              <w:t xml:space="preserve">Zbiornik na deszczówkę </w:t>
            </w:r>
            <w:r>
              <w:rPr>
                <w:rFonts w:ascii="Times New Roman" w:eastAsia="Times New Roman" w:hAnsi="Times New Roman" w:cs="Times New Roman"/>
                <w:b/>
                <w:bCs/>
                <w:kern w:val="0"/>
                <w:lang w:eastAsia="pl-PL"/>
                <w14:ligatures w14:val="none"/>
              </w:rPr>
              <w:br/>
            </w:r>
            <w:r w:rsidRPr="00D17C91">
              <w:rPr>
                <w:rFonts w:ascii="Times New Roman" w:eastAsia="Times New Roman" w:hAnsi="Times New Roman" w:cs="Times New Roman"/>
                <w:kern w:val="0"/>
                <w:lang w:eastAsia="pl-PL"/>
                <w14:ligatures w14:val="none"/>
              </w:rPr>
              <w:t>360 l, + przyłącza</w:t>
            </w:r>
            <w:r>
              <w:rPr>
                <w:rFonts w:ascii="Times New Roman" w:eastAsia="Times New Roman" w:hAnsi="Times New Roman" w:cs="Times New Roman"/>
                <w:kern w:val="0"/>
                <w:lang w:eastAsia="pl-PL"/>
                <w14:ligatures w14:val="none"/>
              </w:rPr>
              <w:br/>
            </w:r>
            <w:r w:rsidRPr="00E65C4A">
              <w:rPr>
                <w:rFonts w:ascii="Times New Roman" w:eastAsia="Times New Roman" w:hAnsi="Times New Roman" w:cs="Times New Roman"/>
                <w:kern w:val="0"/>
                <w:lang w:eastAsia="pl-PL"/>
                <w14:ligatures w14:val="none"/>
              </w:rPr>
              <w:t xml:space="preserve">Wykonany z polietylenu, wyposażony w górną pokrywę. </w:t>
            </w:r>
            <w:r>
              <w:rPr>
                <w:rFonts w:ascii="Times New Roman" w:eastAsia="Times New Roman" w:hAnsi="Times New Roman" w:cs="Times New Roman"/>
                <w:kern w:val="0"/>
                <w:lang w:eastAsia="pl-PL"/>
                <w14:ligatures w14:val="none"/>
              </w:rPr>
              <w:br/>
            </w:r>
            <w:r w:rsidRPr="00E65C4A">
              <w:rPr>
                <w:rFonts w:ascii="Times New Roman" w:eastAsia="Times New Roman" w:hAnsi="Times New Roman" w:cs="Times New Roman"/>
                <w:kern w:val="0"/>
                <w:lang w:eastAsia="pl-PL"/>
                <w14:ligatures w14:val="none"/>
              </w:rPr>
              <w:t>W</w:t>
            </w:r>
            <w:r>
              <w:rPr>
                <w:rFonts w:ascii="Times New Roman" w:eastAsia="Times New Roman" w:hAnsi="Times New Roman" w:cs="Times New Roman"/>
                <w:kern w:val="0"/>
                <w:lang w:eastAsia="pl-PL"/>
                <w14:ligatures w14:val="none"/>
              </w:rPr>
              <w:t xml:space="preserve"> </w:t>
            </w:r>
            <w:r w:rsidRPr="00E65C4A">
              <w:rPr>
                <w:rFonts w:ascii="Times New Roman" w:eastAsia="Times New Roman" w:hAnsi="Times New Roman" w:cs="Times New Roman"/>
                <w:kern w:val="0"/>
                <w:lang w:eastAsia="pl-PL"/>
                <w14:ligatures w14:val="none"/>
              </w:rPr>
              <w:t>skład zestawu wchodzi:</w:t>
            </w:r>
          </w:p>
          <w:p w14:paraId="4701C7E5"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 xml:space="preserve">- </w:t>
            </w:r>
            <w:r>
              <w:rPr>
                <w:rFonts w:ascii="Times New Roman" w:eastAsia="Times New Roman" w:hAnsi="Times New Roman" w:cs="Times New Roman"/>
                <w:kern w:val="0"/>
                <w:lang w:eastAsia="pl-PL"/>
                <w14:ligatures w14:val="none"/>
              </w:rPr>
              <w:t>r</w:t>
            </w:r>
            <w:r w:rsidRPr="00E65C4A">
              <w:rPr>
                <w:rFonts w:ascii="Times New Roman" w:eastAsia="Times New Roman" w:hAnsi="Times New Roman" w:cs="Times New Roman"/>
                <w:kern w:val="0"/>
                <w:lang w:eastAsia="pl-PL"/>
                <w14:ligatures w14:val="none"/>
              </w:rPr>
              <w:t xml:space="preserve">ynnowy zbieracz deszczówki </w:t>
            </w:r>
          </w:p>
          <w:p w14:paraId="2A5E65D9"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 xml:space="preserve">- </w:t>
            </w:r>
            <w:r>
              <w:rPr>
                <w:rFonts w:ascii="Times New Roman" w:eastAsia="Times New Roman" w:hAnsi="Times New Roman" w:cs="Times New Roman"/>
                <w:kern w:val="0"/>
                <w:lang w:eastAsia="pl-PL"/>
                <w14:ligatures w14:val="none"/>
              </w:rPr>
              <w:t>k</w:t>
            </w:r>
            <w:r w:rsidRPr="00E65C4A">
              <w:rPr>
                <w:rFonts w:ascii="Times New Roman" w:eastAsia="Times New Roman" w:hAnsi="Times New Roman" w:cs="Times New Roman"/>
                <w:kern w:val="0"/>
                <w:lang w:eastAsia="pl-PL"/>
                <w14:ligatures w14:val="none"/>
              </w:rPr>
              <w:t xml:space="preserve">ran do deszczówki </w:t>
            </w:r>
          </w:p>
          <w:p w14:paraId="0275FE84"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 xml:space="preserve">- </w:t>
            </w:r>
            <w:r>
              <w:rPr>
                <w:rFonts w:ascii="Times New Roman" w:eastAsia="Times New Roman" w:hAnsi="Times New Roman" w:cs="Times New Roman"/>
                <w:kern w:val="0"/>
                <w:lang w:eastAsia="pl-PL"/>
                <w14:ligatures w14:val="none"/>
              </w:rPr>
              <w:t>ł</w:t>
            </w:r>
            <w:r w:rsidRPr="00E65C4A">
              <w:rPr>
                <w:rFonts w:ascii="Times New Roman" w:eastAsia="Times New Roman" w:hAnsi="Times New Roman" w:cs="Times New Roman"/>
                <w:kern w:val="0"/>
                <w:lang w:eastAsia="pl-PL"/>
                <w14:ligatures w14:val="none"/>
              </w:rPr>
              <w:t>ącznik z zaworem i GW/GZ 3/4''</w:t>
            </w:r>
          </w:p>
          <w:p w14:paraId="03B1C8C7"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 xml:space="preserve">- </w:t>
            </w:r>
            <w:r>
              <w:rPr>
                <w:rFonts w:ascii="Times New Roman" w:eastAsia="Times New Roman" w:hAnsi="Times New Roman" w:cs="Times New Roman"/>
                <w:kern w:val="0"/>
                <w:lang w:eastAsia="pl-PL"/>
                <w14:ligatures w14:val="none"/>
              </w:rPr>
              <w:t>w</w:t>
            </w:r>
            <w:r w:rsidRPr="00E65C4A">
              <w:rPr>
                <w:rFonts w:ascii="Times New Roman" w:eastAsia="Times New Roman" w:hAnsi="Times New Roman" w:cs="Times New Roman"/>
                <w:kern w:val="0"/>
                <w:lang w:eastAsia="pl-PL"/>
                <w14:ligatures w14:val="none"/>
              </w:rPr>
              <w:t xml:space="preserve">krętka (przyłącze) z GZ ¾'' US </w:t>
            </w:r>
          </w:p>
          <w:p w14:paraId="56701DF6"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 xml:space="preserve">- </w:t>
            </w:r>
            <w:r>
              <w:rPr>
                <w:rFonts w:ascii="Times New Roman" w:eastAsia="Times New Roman" w:hAnsi="Times New Roman" w:cs="Times New Roman"/>
                <w:kern w:val="0"/>
                <w:lang w:eastAsia="pl-PL"/>
                <w14:ligatures w14:val="none"/>
              </w:rPr>
              <w:t>s</w:t>
            </w:r>
            <w:r w:rsidRPr="00E65C4A">
              <w:rPr>
                <w:rFonts w:ascii="Times New Roman" w:eastAsia="Times New Roman" w:hAnsi="Times New Roman" w:cs="Times New Roman"/>
                <w:kern w:val="0"/>
                <w:lang w:eastAsia="pl-PL"/>
                <w14:ligatures w14:val="none"/>
              </w:rPr>
              <w:t xml:space="preserve">zybkozłącze 1/2" ze stopem </w:t>
            </w:r>
          </w:p>
          <w:p w14:paraId="263A4286"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Parametry produktu:</w:t>
            </w:r>
          </w:p>
          <w:p w14:paraId="2416C2E8"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wysokość: 1200 mm</w:t>
            </w:r>
          </w:p>
          <w:p w14:paraId="184008EA"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szerokość: 800 mm</w:t>
            </w:r>
          </w:p>
          <w:p w14:paraId="6BA2A92F" w14:textId="77777777" w:rsidR="00AD32D5" w:rsidRPr="00E65C4A" w:rsidRDefault="00AD32D5" w:rsidP="00F67364">
            <w:pPr>
              <w:rPr>
                <w:rFonts w:ascii="Times New Roman" w:eastAsia="Times New Roman" w:hAnsi="Times New Roman" w:cs="Times New Roman"/>
                <w:kern w:val="0"/>
                <w:lang w:eastAsia="pl-PL"/>
                <w14:ligatures w14:val="none"/>
              </w:rPr>
            </w:pPr>
            <w:r w:rsidRPr="00E65C4A">
              <w:rPr>
                <w:rFonts w:ascii="Times New Roman" w:eastAsia="Times New Roman" w:hAnsi="Times New Roman" w:cs="Times New Roman"/>
                <w:kern w:val="0"/>
                <w:lang w:eastAsia="pl-PL"/>
                <w14:ligatures w14:val="none"/>
              </w:rPr>
              <w:t>pojemność: 360 litrów</w:t>
            </w:r>
          </w:p>
          <w:p w14:paraId="5A416868" w14:textId="77777777" w:rsidR="00AD32D5" w:rsidRPr="00364086" w:rsidRDefault="00AD32D5" w:rsidP="00F67364">
            <w:pPr>
              <w:rPr>
                <w:rFonts w:ascii="Times New Roman" w:eastAsia="Times New Roman" w:hAnsi="Times New Roman" w:cs="Times New Roman"/>
                <w:b/>
                <w:bCs/>
                <w:kern w:val="0"/>
                <w:lang w:eastAsia="pl-PL"/>
                <w14:ligatures w14:val="none"/>
              </w:rPr>
            </w:pPr>
            <w:r w:rsidRPr="00E65C4A">
              <w:rPr>
                <w:rFonts w:ascii="Times New Roman" w:eastAsia="Times New Roman" w:hAnsi="Times New Roman" w:cs="Times New Roman"/>
                <w:kern w:val="0"/>
                <w:lang w:eastAsia="pl-PL"/>
                <w14:ligatures w14:val="none"/>
              </w:rPr>
              <w:t>kolor: terakota/glina naturalna</w:t>
            </w:r>
          </w:p>
        </w:tc>
        <w:tc>
          <w:tcPr>
            <w:tcW w:w="421" w:type="dxa"/>
            <w:tcBorders>
              <w:top w:val="single" w:sz="4" w:space="0" w:color="auto"/>
              <w:left w:val="nil"/>
              <w:bottom w:val="single" w:sz="4" w:space="0" w:color="auto"/>
              <w:right w:val="single" w:sz="4" w:space="0" w:color="auto"/>
            </w:tcBorders>
            <w:shd w:val="clear" w:color="auto" w:fill="auto"/>
            <w:noWrap/>
            <w:vAlign w:val="center"/>
          </w:tcPr>
          <w:p w14:paraId="1A4F5332"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3</w:t>
            </w:r>
          </w:p>
        </w:tc>
      </w:tr>
      <w:tr w:rsidR="00AD32D5" w:rsidRPr="00364086" w14:paraId="5D21BECC" w14:textId="77777777" w:rsidTr="00AD32D5">
        <w:trPr>
          <w:trHeight w:val="717"/>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027FEE"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Pr>
                <w:rFonts w:ascii="Times New Roman" w:eastAsia="Times New Roman" w:hAnsi="Times New Roman" w:cs="Times New Roman"/>
                <w:b/>
                <w:bCs/>
                <w:kern w:val="0"/>
                <w:lang w:eastAsia="pl-PL"/>
                <w14:ligatures w14:val="none"/>
              </w:rPr>
              <w:t>9</w:t>
            </w:r>
          </w:p>
        </w:tc>
        <w:tc>
          <w:tcPr>
            <w:tcW w:w="7667" w:type="dxa"/>
            <w:tcBorders>
              <w:top w:val="single" w:sz="4" w:space="0" w:color="auto"/>
              <w:left w:val="nil"/>
              <w:bottom w:val="single" w:sz="4" w:space="0" w:color="auto"/>
              <w:right w:val="single" w:sz="4" w:space="0" w:color="auto"/>
            </w:tcBorders>
            <w:shd w:val="clear" w:color="auto" w:fill="auto"/>
            <w:vAlign w:val="center"/>
          </w:tcPr>
          <w:p w14:paraId="18F2946C" w14:textId="77777777" w:rsidR="00AD32D5" w:rsidRPr="00364086" w:rsidRDefault="00AD32D5" w:rsidP="00F67364">
            <w:pPr>
              <w:rPr>
                <w:rFonts w:ascii="Times New Roman" w:eastAsia="Times New Roman" w:hAnsi="Times New Roman" w:cs="Times New Roman"/>
                <w:b/>
                <w:bCs/>
                <w:kern w:val="0"/>
                <w:lang w:eastAsia="pl-PL"/>
                <w14:ligatures w14:val="none"/>
              </w:rPr>
            </w:pPr>
            <w:r w:rsidRPr="005413CB">
              <w:rPr>
                <w:rFonts w:ascii="Times New Roman" w:eastAsia="Times New Roman" w:hAnsi="Times New Roman" w:cs="Times New Roman"/>
                <w:b/>
                <w:bCs/>
                <w:kern w:val="0"/>
                <w:lang w:eastAsia="pl-PL"/>
                <w14:ligatures w14:val="none"/>
              </w:rPr>
              <w:t xml:space="preserve">Taczka wózek paszowy koleba dwukołowa </w:t>
            </w:r>
            <w:r>
              <w:rPr>
                <w:rFonts w:ascii="Times New Roman" w:eastAsia="Times New Roman" w:hAnsi="Times New Roman" w:cs="Times New Roman"/>
                <w:b/>
                <w:bCs/>
                <w:kern w:val="0"/>
                <w:lang w:eastAsia="pl-PL"/>
                <w14:ligatures w14:val="none"/>
              </w:rPr>
              <w:br/>
            </w:r>
            <w:r w:rsidRPr="00D17C91">
              <w:rPr>
                <w:rFonts w:ascii="Times New Roman" w:eastAsia="Times New Roman" w:hAnsi="Times New Roman" w:cs="Times New Roman"/>
                <w:kern w:val="0"/>
                <w:lang w:eastAsia="pl-PL"/>
                <w14:ligatures w14:val="none"/>
              </w:rPr>
              <w:t>350</w:t>
            </w:r>
            <w:r>
              <w:rPr>
                <w:rFonts w:ascii="Times New Roman" w:eastAsia="Times New Roman" w:hAnsi="Times New Roman" w:cs="Times New Roman"/>
                <w:kern w:val="0"/>
                <w:lang w:eastAsia="pl-PL"/>
                <w14:ligatures w14:val="none"/>
              </w:rPr>
              <w:t>l</w:t>
            </w:r>
            <w:r w:rsidRPr="00D17C91">
              <w:rPr>
                <w:rFonts w:ascii="Times New Roman" w:eastAsia="Times New Roman" w:hAnsi="Times New Roman" w:cs="Times New Roman"/>
                <w:kern w:val="0"/>
                <w:lang w:eastAsia="pl-PL"/>
                <w14:ligatures w14:val="none"/>
              </w:rPr>
              <w:t xml:space="preserve"> / 300kg</w:t>
            </w:r>
            <w:r>
              <w:rPr>
                <w:rFonts w:ascii="Times New Roman" w:eastAsia="Times New Roman" w:hAnsi="Times New Roman" w:cs="Times New Roman"/>
                <w:kern w:val="0"/>
                <w:lang w:eastAsia="pl-PL"/>
                <w14:ligatures w14:val="none"/>
              </w:rPr>
              <w:br/>
            </w:r>
            <w:r w:rsidRPr="003C62E2">
              <w:rPr>
                <w:rFonts w:ascii="Times New Roman" w:eastAsia="Times New Roman" w:hAnsi="Times New Roman" w:cs="Times New Roman"/>
                <w:kern w:val="0"/>
                <w:lang w:eastAsia="pl-PL"/>
                <w14:ligatures w14:val="none"/>
              </w:rPr>
              <w:t>Antypoślizgowe rączki z wyprofilowaniem na palce. Koła pompowane o średnicy 40 cm ze stalową felgą i mocnymi łożyskami kulkowymi. Misa z mocnego tworzywa.</w:t>
            </w:r>
          </w:p>
        </w:tc>
        <w:tc>
          <w:tcPr>
            <w:tcW w:w="421" w:type="dxa"/>
            <w:tcBorders>
              <w:top w:val="single" w:sz="4" w:space="0" w:color="auto"/>
              <w:left w:val="nil"/>
              <w:bottom w:val="single" w:sz="4" w:space="0" w:color="auto"/>
              <w:right w:val="single" w:sz="4" w:space="0" w:color="auto"/>
            </w:tcBorders>
            <w:shd w:val="clear" w:color="auto" w:fill="auto"/>
            <w:noWrap/>
            <w:vAlign w:val="center"/>
          </w:tcPr>
          <w:p w14:paraId="2D34A73C"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3</w:t>
            </w:r>
          </w:p>
        </w:tc>
      </w:tr>
      <w:tr w:rsidR="00AD32D5" w:rsidRPr="00364086" w14:paraId="5B6F9CC0" w14:textId="77777777" w:rsidTr="00AD32D5">
        <w:trPr>
          <w:trHeight w:val="620"/>
        </w:trPr>
        <w:tc>
          <w:tcPr>
            <w:tcW w:w="5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17578" w14:textId="77777777" w:rsidR="00AD32D5" w:rsidRPr="00364086" w:rsidRDefault="00AD32D5" w:rsidP="00F67364">
            <w:pPr>
              <w:jc w:val="center"/>
              <w:rPr>
                <w:rFonts w:ascii="Times New Roman" w:eastAsia="Times New Roman" w:hAnsi="Times New Roman" w:cs="Times New Roman"/>
                <w:b/>
                <w:bCs/>
                <w:kern w:val="0"/>
                <w:lang w:eastAsia="pl-PL"/>
                <w14:ligatures w14:val="none"/>
              </w:rPr>
            </w:pPr>
            <w:r>
              <w:rPr>
                <w:rFonts w:ascii="Times New Roman" w:eastAsia="Times New Roman" w:hAnsi="Times New Roman" w:cs="Times New Roman"/>
                <w:b/>
                <w:bCs/>
                <w:kern w:val="0"/>
                <w:lang w:eastAsia="pl-PL"/>
                <w14:ligatures w14:val="none"/>
              </w:rPr>
              <w:t>10</w:t>
            </w:r>
          </w:p>
        </w:tc>
        <w:tc>
          <w:tcPr>
            <w:tcW w:w="7667" w:type="dxa"/>
            <w:tcBorders>
              <w:top w:val="single" w:sz="4" w:space="0" w:color="auto"/>
              <w:left w:val="nil"/>
              <w:bottom w:val="single" w:sz="4" w:space="0" w:color="auto"/>
              <w:right w:val="single" w:sz="4" w:space="0" w:color="auto"/>
            </w:tcBorders>
            <w:shd w:val="clear" w:color="auto" w:fill="auto"/>
            <w:vAlign w:val="center"/>
          </w:tcPr>
          <w:p w14:paraId="372462DF" w14:textId="77777777" w:rsidR="00AD32D5" w:rsidRPr="00364086" w:rsidRDefault="00AD32D5" w:rsidP="00F67364">
            <w:pPr>
              <w:rPr>
                <w:rFonts w:ascii="Times New Roman" w:eastAsia="Times New Roman" w:hAnsi="Times New Roman" w:cs="Times New Roman"/>
                <w:b/>
                <w:bCs/>
                <w:kern w:val="0"/>
                <w:lang w:eastAsia="pl-PL"/>
                <w14:ligatures w14:val="none"/>
              </w:rPr>
            </w:pPr>
            <w:bookmarkStart w:id="1" w:name="_Hlk169392829"/>
            <w:r w:rsidRPr="005413CB">
              <w:rPr>
                <w:rFonts w:ascii="Times New Roman" w:eastAsia="Times New Roman" w:hAnsi="Times New Roman" w:cs="Times New Roman"/>
                <w:b/>
                <w:bCs/>
                <w:kern w:val="0"/>
                <w:lang w:eastAsia="pl-PL"/>
                <w14:ligatures w14:val="none"/>
              </w:rPr>
              <w:t>Pojemnik na chwasty</w:t>
            </w:r>
            <w:bookmarkEnd w:id="1"/>
            <w:r>
              <w:rPr>
                <w:rFonts w:ascii="Times New Roman" w:eastAsia="Times New Roman" w:hAnsi="Times New Roman" w:cs="Times New Roman"/>
                <w:b/>
                <w:bCs/>
                <w:kern w:val="0"/>
                <w:lang w:eastAsia="pl-PL"/>
                <w14:ligatures w14:val="none"/>
              </w:rPr>
              <w:br/>
            </w:r>
            <w:r w:rsidRPr="00D17C91">
              <w:rPr>
                <w:rFonts w:ascii="Times New Roman" w:eastAsia="Times New Roman" w:hAnsi="Times New Roman" w:cs="Times New Roman"/>
                <w:kern w:val="0"/>
                <w:lang w:eastAsia="pl-PL"/>
                <w14:ligatures w14:val="none"/>
              </w:rPr>
              <w:t>Plastikowy z uchem okrągły 10 l</w:t>
            </w:r>
          </w:p>
        </w:tc>
        <w:tc>
          <w:tcPr>
            <w:tcW w:w="421" w:type="dxa"/>
            <w:tcBorders>
              <w:top w:val="single" w:sz="4" w:space="0" w:color="auto"/>
              <w:left w:val="nil"/>
              <w:bottom w:val="single" w:sz="4" w:space="0" w:color="auto"/>
              <w:right w:val="single" w:sz="4" w:space="0" w:color="auto"/>
            </w:tcBorders>
            <w:shd w:val="clear" w:color="auto" w:fill="auto"/>
            <w:noWrap/>
            <w:vAlign w:val="center"/>
          </w:tcPr>
          <w:p w14:paraId="09F1DC9B" w14:textId="77777777" w:rsidR="00AD32D5" w:rsidRPr="00364086" w:rsidRDefault="00AD32D5" w:rsidP="00F67364">
            <w:pPr>
              <w:jc w:val="cente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20</w:t>
            </w:r>
          </w:p>
        </w:tc>
      </w:tr>
    </w:tbl>
    <w:p w14:paraId="49256319" w14:textId="77777777" w:rsidR="006C61CF" w:rsidRDefault="006C61CF">
      <w:pPr>
        <w:rPr>
          <w:rFonts w:ascii="Avenir Book" w:hAnsi="Avenir Book"/>
          <w:sz w:val="22"/>
          <w:szCs w:val="22"/>
        </w:rPr>
      </w:pPr>
    </w:p>
    <w:p w14:paraId="73F85393" w14:textId="77777777" w:rsidR="001913FC" w:rsidRDefault="001913FC" w:rsidP="001913FC">
      <w:pPr>
        <w:rPr>
          <w:rFonts w:ascii="Avenir Book" w:hAnsi="Avenir Book"/>
          <w:sz w:val="22"/>
          <w:szCs w:val="22"/>
        </w:rPr>
      </w:pPr>
    </w:p>
    <w:p w14:paraId="18AB2FF5" w14:textId="77777777" w:rsidR="001913FC" w:rsidRDefault="001913FC" w:rsidP="001913FC">
      <w:pPr>
        <w:rPr>
          <w:rFonts w:ascii="Avenir Book" w:hAnsi="Avenir Book"/>
          <w:sz w:val="22"/>
          <w:szCs w:val="22"/>
        </w:rPr>
      </w:pPr>
    </w:p>
    <w:tbl>
      <w:tblPr>
        <w:tblStyle w:val="TableGrid"/>
        <w:tblW w:w="9747" w:type="dxa"/>
        <w:tblInd w:w="-27" w:type="dxa"/>
        <w:tblCellMar>
          <w:top w:w="47" w:type="dxa"/>
          <w:right w:w="115" w:type="dxa"/>
        </w:tblCellMar>
        <w:tblLook w:val="04A0" w:firstRow="1" w:lastRow="0" w:firstColumn="1" w:lastColumn="0" w:noHBand="0" w:noVBand="1"/>
      </w:tblPr>
      <w:tblGrid>
        <w:gridCol w:w="9747"/>
      </w:tblGrid>
      <w:tr w:rsidR="001913FC" w14:paraId="233FE57A" w14:textId="77777777" w:rsidTr="007C3E67">
        <w:trPr>
          <w:trHeight w:val="292"/>
        </w:trPr>
        <w:tc>
          <w:tcPr>
            <w:tcW w:w="9747" w:type="dxa"/>
            <w:tcBorders>
              <w:top w:val="dashSmallGap" w:sz="4" w:space="0" w:color="000000"/>
              <w:left w:val="dashSmallGap" w:sz="4" w:space="0" w:color="000000"/>
              <w:bottom w:val="dashSmallGap" w:sz="4" w:space="0" w:color="000000"/>
              <w:right w:val="dashSmallGap" w:sz="4" w:space="0" w:color="000000"/>
            </w:tcBorders>
            <w:shd w:val="clear" w:color="auto" w:fill="FFFFFF" w:themeFill="background1"/>
          </w:tcPr>
          <w:p w14:paraId="7A5B7FB9" w14:textId="77777777" w:rsidR="001913FC" w:rsidRPr="00BE6E64" w:rsidRDefault="001913FC" w:rsidP="007C3E67">
            <w:pPr>
              <w:spacing w:line="259" w:lineRule="auto"/>
              <w:jc w:val="center"/>
              <w:rPr>
                <w:b/>
              </w:rPr>
            </w:pPr>
            <w:r w:rsidRPr="00BE6E64">
              <w:rPr>
                <w:b/>
                <w:highlight w:val="yellow"/>
              </w:rPr>
              <w:t>A. ZASADY RÓWNOWAŻNOŚCI ROZWIĄZAŃ</w:t>
            </w:r>
          </w:p>
        </w:tc>
      </w:tr>
    </w:tbl>
    <w:p w14:paraId="65534A2A" w14:textId="77777777" w:rsidR="001913FC" w:rsidRDefault="001913FC" w:rsidP="001913FC">
      <w:pPr>
        <w:numPr>
          <w:ilvl w:val="0"/>
          <w:numId w:val="47"/>
        </w:numPr>
        <w:spacing w:after="26" w:line="262" w:lineRule="auto"/>
        <w:ind w:hanging="362"/>
        <w:jc w:val="both"/>
      </w:pPr>
      <w:r>
        <w:rPr>
          <w:b/>
        </w:rPr>
        <w:t>równoważność</w:t>
      </w:r>
      <w:r>
        <w:t xml:space="preserve"> - rozwiązanie o tym samym przeznaczeniu, cechach technicznych, jakościowych i funkcjonalnych odpowiadających cechom technicznym, jakościowym i </w:t>
      </w:r>
      <w:r>
        <w:lastRenderedPageBreak/>
        <w:t xml:space="preserve">funkcjonalnym wskazanych w opisie przedmiotu zamówienia, lub lepszych, oznaczonych innym znakiem towarowym, patentem lub pochodzeniem; </w:t>
      </w:r>
    </w:p>
    <w:p w14:paraId="47512D16" w14:textId="7C8E3EC5" w:rsidR="001913FC" w:rsidRDefault="001913FC" w:rsidP="001913FC">
      <w:pPr>
        <w:numPr>
          <w:ilvl w:val="0"/>
          <w:numId w:val="47"/>
        </w:numPr>
        <w:spacing w:after="26" w:line="262" w:lineRule="auto"/>
        <w:ind w:hanging="362"/>
        <w:jc w:val="both"/>
      </w:pPr>
      <w:r>
        <w:t xml:space="preserve">Zamawiający dopuszcza zaoferowanie rozwiązań równoważnych w stosunku do wskazanych w </w:t>
      </w:r>
      <w:r w:rsidRPr="00C779D1">
        <w:rPr>
          <w:b/>
          <w:bCs/>
          <w:u w:val="single" w:color="000000"/>
        </w:rPr>
        <w:t>załączniku</w:t>
      </w:r>
      <w:r w:rsidRPr="00C779D1">
        <w:rPr>
          <w:b/>
          <w:bCs/>
          <w:u w:val="single"/>
        </w:rPr>
        <w:t xml:space="preserve"> </w:t>
      </w:r>
      <w:r w:rsidRPr="00C779D1">
        <w:rPr>
          <w:b/>
          <w:bCs/>
          <w:u w:val="single" w:color="000000"/>
        </w:rPr>
        <w:t>nr 8</w:t>
      </w:r>
      <w:r>
        <w:rPr>
          <w:b/>
          <w:bCs/>
          <w:u w:val="single" w:color="000000"/>
        </w:rPr>
        <w:t>A</w:t>
      </w:r>
      <w:r w:rsidRPr="00C779D1">
        <w:rPr>
          <w:b/>
          <w:bCs/>
          <w:u w:val="single" w:color="000000"/>
        </w:rPr>
        <w:t xml:space="preserve"> do SWZ</w:t>
      </w:r>
      <w:r>
        <w:t xml:space="preserve"> pod warunkiem, że zagwarantują one realizację dostaw i zapewnią uzyskanie parametrów technicznych nie gorszych od wskazanych w </w:t>
      </w:r>
      <w:r w:rsidRPr="00C779D1">
        <w:rPr>
          <w:u w:val="single"/>
        </w:rPr>
        <w:t xml:space="preserve">ww. </w:t>
      </w:r>
      <w:r>
        <w:rPr>
          <w:u w:val="single" w:color="000000"/>
        </w:rPr>
        <w:t xml:space="preserve">załączniku </w:t>
      </w:r>
      <w:r>
        <w:t xml:space="preserve">oraz będą zgodne pod względem: </w:t>
      </w:r>
    </w:p>
    <w:p w14:paraId="103B7A30" w14:textId="77777777" w:rsidR="001913FC" w:rsidRDefault="001913FC" w:rsidP="001913FC">
      <w:pPr>
        <w:spacing w:after="26" w:line="262" w:lineRule="auto"/>
        <w:ind w:left="705"/>
        <w:jc w:val="both"/>
      </w:pPr>
      <w:r>
        <w:t xml:space="preserve">a) gabarytów i konstrukcji (wielkość, rodzaj, właściwości fizyczne oraz liczba elementów składowych), b) charakteru użytkowego (tożsamość funkcji), </w:t>
      </w:r>
    </w:p>
    <w:p w14:paraId="54CB4B11" w14:textId="77777777" w:rsidR="001913FC" w:rsidRDefault="001913FC" w:rsidP="001913FC">
      <w:pPr>
        <w:numPr>
          <w:ilvl w:val="1"/>
          <w:numId w:val="47"/>
        </w:numPr>
        <w:spacing w:after="26" w:line="262" w:lineRule="auto"/>
        <w:ind w:hanging="358"/>
        <w:jc w:val="both"/>
      </w:pPr>
      <w:r>
        <w:t xml:space="preserve">charakterystyki materiałowej (rodzaj i jakość materiałów), </w:t>
      </w:r>
    </w:p>
    <w:p w14:paraId="160BBDE5" w14:textId="77777777" w:rsidR="001913FC" w:rsidRDefault="001913FC" w:rsidP="001913FC">
      <w:pPr>
        <w:numPr>
          <w:ilvl w:val="1"/>
          <w:numId w:val="47"/>
        </w:numPr>
        <w:spacing w:after="26" w:line="262" w:lineRule="auto"/>
        <w:ind w:hanging="358"/>
        <w:jc w:val="both"/>
      </w:pPr>
      <w:r>
        <w:t xml:space="preserve">parametrów technicznych (wytrzymałość, trwałość, dane techniczne, charakterystyki liniowe, konstrukcje itd.), </w:t>
      </w:r>
    </w:p>
    <w:p w14:paraId="5B80B130" w14:textId="77777777" w:rsidR="001913FC" w:rsidRDefault="001913FC" w:rsidP="001913FC">
      <w:pPr>
        <w:numPr>
          <w:ilvl w:val="1"/>
          <w:numId w:val="47"/>
        </w:numPr>
        <w:spacing w:after="26" w:line="262" w:lineRule="auto"/>
        <w:ind w:hanging="358"/>
        <w:jc w:val="both"/>
      </w:pPr>
      <w:r>
        <w:t xml:space="preserve">parametrów bezpieczeństwa użytkowania, </w:t>
      </w:r>
    </w:p>
    <w:p w14:paraId="731A64B6" w14:textId="77777777" w:rsidR="001913FC" w:rsidRDefault="001913FC" w:rsidP="001913FC">
      <w:pPr>
        <w:numPr>
          <w:ilvl w:val="1"/>
          <w:numId w:val="47"/>
        </w:numPr>
        <w:spacing w:after="35" w:line="255" w:lineRule="auto"/>
        <w:ind w:hanging="358"/>
        <w:jc w:val="both"/>
      </w:pPr>
      <w:r>
        <w:t>standardów emisyjnych;</w:t>
      </w:r>
    </w:p>
    <w:p w14:paraId="569697FF" w14:textId="77777777" w:rsidR="001913FC" w:rsidRDefault="001913FC" w:rsidP="001913FC">
      <w:pPr>
        <w:numPr>
          <w:ilvl w:val="0"/>
          <w:numId w:val="47"/>
        </w:numPr>
        <w:spacing w:after="26" w:line="262" w:lineRule="auto"/>
        <w:ind w:hanging="362"/>
        <w:jc w:val="both"/>
      </w:pPr>
      <w:r>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6A51F178" w14:textId="77777777" w:rsidR="001913FC" w:rsidRDefault="001913FC" w:rsidP="001913FC">
      <w:pPr>
        <w:numPr>
          <w:ilvl w:val="0"/>
          <w:numId w:val="47"/>
        </w:numPr>
        <w:spacing w:after="26" w:line="262" w:lineRule="auto"/>
        <w:ind w:hanging="362"/>
        <w:jc w:val="both"/>
      </w:pPr>
      <w:r>
        <w:t xml:space="preserve">użycie w Szczegółowym Opisie Przedmiotu Zamówienia nazw rozwiązań, materiałów i urządzeń służy ustaleniu minimalnego standardu wykonania i określenia właściwości i wymogów technicznych założonych w dokumentacji technicznej dla projektowanych rozwiązań; </w:t>
      </w:r>
    </w:p>
    <w:p w14:paraId="64A96EA5" w14:textId="77777777" w:rsidR="001913FC" w:rsidRDefault="001913FC" w:rsidP="001913FC">
      <w:pPr>
        <w:numPr>
          <w:ilvl w:val="0"/>
          <w:numId w:val="47"/>
        </w:numPr>
        <w:spacing w:after="26" w:line="262" w:lineRule="auto"/>
        <w:ind w:hanging="362"/>
        <w:jc w:val="both"/>
      </w:pPr>
      <w:r>
        <w:t xml:space="preserve">Wykonawca zobligowany jest do wykazania, że oferowane rozwiązania równoważne spełnią zakładane wymagania minimalne; </w:t>
      </w:r>
    </w:p>
    <w:p w14:paraId="530698EA" w14:textId="77777777" w:rsidR="001913FC" w:rsidRDefault="001913FC" w:rsidP="001913FC">
      <w:pPr>
        <w:numPr>
          <w:ilvl w:val="0"/>
          <w:numId w:val="47"/>
        </w:numPr>
        <w:spacing w:after="26" w:line="262" w:lineRule="auto"/>
        <w:ind w:hanging="362"/>
        <w:jc w:val="both"/>
      </w:pPr>
      <w:r>
        <w:t xml:space="preserve">użycie w dokumencie słowa „lub” oznacza, że przedmiot zamówienia musi posiadać wymaganą funkcjonalność, natomiast to Zamawiający czy użytkownik będzie miał wybór korzystania z tej funkcjonalności; </w:t>
      </w:r>
    </w:p>
    <w:p w14:paraId="3F253534" w14:textId="77777777" w:rsidR="001913FC" w:rsidRDefault="001913FC" w:rsidP="001913FC">
      <w:pPr>
        <w:numPr>
          <w:ilvl w:val="0"/>
          <w:numId w:val="47"/>
        </w:numPr>
        <w:spacing w:after="26" w:line="262" w:lineRule="auto"/>
        <w:ind w:hanging="362"/>
        <w:jc w:val="both"/>
      </w:pPr>
      <w:r>
        <w:t xml:space="preserve">możliwość zaoferowania funkcji w sposób równoważny jest określone słowem „ewentualnie” albo w jasny sposób zakomunikowane przez Zamawiającego; </w:t>
      </w:r>
    </w:p>
    <w:p w14:paraId="1176F0D2" w14:textId="77777777" w:rsidR="001913FC" w:rsidRDefault="001913FC" w:rsidP="001913FC">
      <w:pPr>
        <w:numPr>
          <w:ilvl w:val="0"/>
          <w:numId w:val="47"/>
        </w:numPr>
        <w:spacing w:after="26" w:line="262" w:lineRule="auto"/>
        <w:ind w:hanging="362"/>
        <w:jc w:val="both"/>
      </w:pPr>
      <w:r>
        <w:t xml:space="preserve">wymagania przedstawione w dokumencie, jeśli nie wynikają z obowiązujących i uznawanych standardów (np. zasilanie 230V), są wymaganiami granicznymi; </w:t>
      </w:r>
    </w:p>
    <w:p w14:paraId="1B017578" w14:textId="77777777" w:rsidR="001913FC" w:rsidRDefault="001913FC" w:rsidP="001913FC">
      <w:pPr>
        <w:numPr>
          <w:ilvl w:val="0"/>
          <w:numId w:val="47"/>
        </w:numPr>
        <w:spacing w:after="36" w:line="252" w:lineRule="auto"/>
        <w:ind w:hanging="362"/>
        <w:jc w:val="both"/>
      </w:pPr>
      <w:r>
        <w:rPr>
          <w:b/>
          <w:u w:val="single" w:color="000000"/>
        </w:rPr>
        <w:t>brak określenia „minimum” oznacza wymaganie na poziomie minimalnym, a Wykonawca może</w:t>
      </w:r>
      <w:r>
        <w:rPr>
          <w:b/>
        </w:rPr>
        <w:t xml:space="preserve"> </w:t>
      </w:r>
      <w:r>
        <w:rPr>
          <w:b/>
          <w:u w:val="single" w:color="000000"/>
        </w:rPr>
        <w:t>zaoferować rozwiązanie o lepszych parametrach;</w:t>
      </w:r>
    </w:p>
    <w:p w14:paraId="22043385" w14:textId="77777777" w:rsidR="001913FC" w:rsidRDefault="001913FC" w:rsidP="001913FC">
      <w:pPr>
        <w:numPr>
          <w:ilvl w:val="0"/>
          <w:numId w:val="47"/>
        </w:numPr>
        <w:spacing w:after="26" w:line="262" w:lineRule="auto"/>
        <w:ind w:hanging="362"/>
        <w:jc w:val="both"/>
      </w:pPr>
      <w:r>
        <w:t xml:space="preserve">w celu zachowania zasad neutralności technologicznej i konkurencyjności dopuszcza się rozwiązania równoważne do wyspecyfikowanych, przy czym za rozwiązanie </w:t>
      </w:r>
      <w:r>
        <w:lastRenderedPageBreak/>
        <w:t xml:space="preserve">równoważne uważa się takie rozwiązanie, które pod względem technologii, wydajności i funkcjonalności nie odbiega lub jest lepsze od technologii funkcjonalności i wydajności wyszczególnionych w rozwiązaniu wyspecyfikowanym; </w:t>
      </w:r>
    </w:p>
    <w:p w14:paraId="16392E44" w14:textId="77777777" w:rsidR="001913FC" w:rsidRDefault="001913FC" w:rsidP="001913FC">
      <w:pPr>
        <w:numPr>
          <w:ilvl w:val="0"/>
          <w:numId w:val="47"/>
        </w:numPr>
        <w:spacing w:after="26" w:line="262" w:lineRule="auto"/>
        <w:ind w:hanging="362"/>
        <w:jc w:val="both"/>
      </w:pPr>
      <w:r>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2AB09BFB" w14:textId="77777777" w:rsidR="001913FC" w:rsidRDefault="001913FC" w:rsidP="001913FC">
      <w:pPr>
        <w:numPr>
          <w:ilvl w:val="0"/>
          <w:numId w:val="47"/>
        </w:numPr>
        <w:spacing w:after="26" w:line="262" w:lineRule="auto"/>
        <w:ind w:hanging="362"/>
        <w:jc w:val="both"/>
      </w:pPr>
      <w:r>
        <w:t xml:space="preserve">dostarczenie przez Wykonawcę rozwiązania równoważnego musi być zrealizowane w taki sposób, aby wymiana oprogramowania na równoważne nie zakłóciła bieżącej pracy Zamawiającego. W tym celu Wykonawca musi do oprogramowania równoważnego przenieść wszystkie dane niezbędne do prawidłowego działania nowych systemów, poinstruować użytkowników, tak aby nabyli umiejętność posługiwania się systemami, skonfigurować oprogramowanie, uwzględnić niezbędne wsparcie pracowników Wykonawcy w operacji uruchamiania oprogramowania w środowisku produkcyjnym itp.  </w:t>
      </w:r>
    </w:p>
    <w:p w14:paraId="545CA547" w14:textId="77777777" w:rsidR="001913FC" w:rsidRDefault="001913FC" w:rsidP="001913FC">
      <w:pPr>
        <w:numPr>
          <w:ilvl w:val="0"/>
          <w:numId w:val="47"/>
        </w:numPr>
        <w:spacing w:after="26" w:line="262" w:lineRule="auto"/>
        <w:ind w:hanging="362"/>
        <w:jc w:val="both"/>
      </w:pPr>
      <w:r>
        <w:t xml:space="preserve">dodatkowo, wszędzie tam, gdzie zostało wskazane pochodzenie (marka, znak towarowy, producent, dostawca itp.) materiałów lub normy, aprobaty, specyfikacje i systemy, Zamawiający dopuszcza oferowanie sprzętu lub rozwiązań równoważnych pod warunkiem, że zapewnią uzyskanie parametrów technicznych takich samych lub lepszych niż wymagane przez Zamawiającego w SWZ.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w:t>
      </w:r>
      <w:r>
        <w:lastRenderedPageBreak/>
        <w:t xml:space="preserve">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013D7E5F" w14:textId="77777777" w:rsidR="001913FC" w:rsidRDefault="001913FC" w:rsidP="001913FC">
      <w:pPr>
        <w:numPr>
          <w:ilvl w:val="0"/>
          <w:numId w:val="47"/>
        </w:numPr>
        <w:spacing w:line="262" w:lineRule="auto"/>
        <w:ind w:hanging="362"/>
        <w:jc w:val="both"/>
      </w:pPr>
      <w:r>
        <w:t xml:space="preserve">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  </w:t>
      </w:r>
    </w:p>
    <w:p w14:paraId="2F25B35E" w14:textId="77777777" w:rsidR="001913FC" w:rsidRDefault="001913FC" w:rsidP="001913FC">
      <w:pPr>
        <w:spacing w:line="262" w:lineRule="auto"/>
        <w:ind w:left="705"/>
        <w:jc w:val="both"/>
      </w:pPr>
    </w:p>
    <w:p w14:paraId="545EE11C" w14:textId="77777777" w:rsidR="001913FC" w:rsidRDefault="001913FC" w:rsidP="001913FC">
      <w:pPr>
        <w:pBdr>
          <w:top w:val="dashSmallGap" w:sz="4" w:space="1" w:color="000000"/>
          <w:left w:val="dashSmallGap" w:sz="4" w:space="4" w:color="000000"/>
          <w:bottom w:val="dashSmallGap" w:sz="4" w:space="1" w:color="000000"/>
          <w:right w:val="dashSmallGap" w:sz="4" w:space="4" w:color="000000"/>
        </w:pBdr>
        <w:spacing w:after="289" w:line="259" w:lineRule="auto"/>
        <w:ind w:left="358"/>
        <w:jc w:val="center"/>
      </w:pPr>
      <w:r w:rsidRPr="00BE6E64">
        <w:rPr>
          <w:b/>
          <w:highlight w:val="yellow"/>
        </w:rPr>
        <w:t>B. WYMOGI WSPÓLNE ODNOSZĄCE SIĘ DO PRZEDMIOTU ZAMÓWIENIA</w:t>
      </w:r>
    </w:p>
    <w:p w14:paraId="56EECAD8" w14:textId="77777777" w:rsidR="001913FC" w:rsidRDefault="001913FC" w:rsidP="001913FC">
      <w:pPr>
        <w:numPr>
          <w:ilvl w:val="0"/>
          <w:numId w:val="48"/>
        </w:numPr>
        <w:spacing w:after="35" w:line="255" w:lineRule="auto"/>
        <w:ind w:hanging="360"/>
        <w:jc w:val="both"/>
      </w:pPr>
      <w:r>
        <w:t xml:space="preserve">Przedmiot zamówienia obejmuje dostawę fabrycznie nowych urządzeń/produktów/sprzętu/maszyn etc. o parametrach nie gorszych niż wskazanych.  </w:t>
      </w:r>
    </w:p>
    <w:p w14:paraId="21E8B68F" w14:textId="77777777" w:rsidR="001913FC" w:rsidRDefault="001913FC" w:rsidP="001913FC">
      <w:pPr>
        <w:numPr>
          <w:ilvl w:val="0"/>
          <w:numId w:val="48"/>
        </w:numPr>
        <w:spacing w:after="26" w:line="262" w:lineRule="auto"/>
        <w:ind w:hanging="360"/>
        <w:jc w:val="both"/>
      </w:pPr>
      <w:r>
        <w:t xml:space="preserve">Przez fabrycznie nowe </w:t>
      </w:r>
      <w:r>
        <w:rPr>
          <w:b/>
          <w:u w:val="single" w:color="000000"/>
        </w:rPr>
        <w:t>oznacza - dopiero co zrobiony, nie używany, nie zniszczony, niedawno nabyty,</w:t>
      </w:r>
      <w:r>
        <w:rPr>
          <w:b/>
        </w:rPr>
        <w:t xml:space="preserve"> </w:t>
      </w:r>
      <w:r>
        <w:rPr>
          <w:b/>
          <w:u w:val="single" w:color="000000"/>
        </w:rPr>
        <w:t xml:space="preserve">świeżo powstały, nie </w:t>
      </w:r>
      <w:proofErr w:type="spellStart"/>
      <w:r>
        <w:rPr>
          <w:b/>
          <w:u w:val="single" w:color="000000"/>
        </w:rPr>
        <w:t>refabrykowany</w:t>
      </w:r>
      <w:proofErr w:type="spellEnd"/>
      <w:r>
        <w:t>,</w:t>
      </w:r>
      <w:r>
        <w:rPr>
          <w:b/>
          <w:u w:val="single" w:color="000000"/>
        </w:rPr>
        <w:t xml:space="preserve"> fabrycznie zapakowany.</w:t>
      </w:r>
      <w:r>
        <w:t xml:space="preserve">  </w:t>
      </w:r>
    </w:p>
    <w:p w14:paraId="77B0499D" w14:textId="77777777" w:rsidR="001913FC" w:rsidRDefault="001913FC" w:rsidP="001913FC">
      <w:pPr>
        <w:numPr>
          <w:ilvl w:val="0"/>
          <w:numId w:val="48"/>
        </w:numPr>
        <w:spacing w:after="26" w:line="262" w:lineRule="auto"/>
        <w:ind w:hanging="360"/>
        <w:jc w:val="both"/>
      </w:pPr>
      <w:r>
        <w:t>Dostarczone produkty/urządzenia/sprzęt/maszyny</w:t>
      </w:r>
      <w:r w:rsidRPr="009F5D1D">
        <w:t xml:space="preserve"> </w:t>
      </w:r>
      <w:r>
        <w:t xml:space="preserve">etc. muszą posiadać instrukcję obsługi w języku polskim;  </w:t>
      </w:r>
    </w:p>
    <w:p w14:paraId="4104F8AE" w14:textId="77777777" w:rsidR="001913FC" w:rsidRDefault="001913FC" w:rsidP="001913FC">
      <w:pPr>
        <w:numPr>
          <w:ilvl w:val="0"/>
          <w:numId w:val="48"/>
        </w:numPr>
        <w:spacing w:after="26" w:line="262" w:lineRule="auto"/>
        <w:ind w:hanging="360"/>
        <w:jc w:val="both"/>
      </w:pPr>
      <w:r>
        <w:t>Dostarczone produkty/urządzenia/sprzęt/maszyny</w:t>
      </w:r>
      <w:r w:rsidRPr="009F5D1D">
        <w:t xml:space="preserve"> </w:t>
      </w:r>
      <w:r>
        <w:t xml:space="preserve">etc. muszą być nieużywane przed dniem dostarczenia z wyłączeniem używania niezbędnego dla przeprowadzenia testu ich poprawnej pracy.  </w:t>
      </w:r>
    </w:p>
    <w:p w14:paraId="76C513BC" w14:textId="77777777" w:rsidR="001913FC" w:rsidRDefault="001913FC" w:rsidP="001913FC">
      <w:pPr>
        <w:numPr>
          <w:ilvl w:val="0"/>
          <w:numId w:val="48"/>
        </w:numPr>
        <w:spacing w:after="26" w:line="262" w:lineRule="auto"/>
        <w:ind w:hanging="360"/>
        <w:jc w:val="both"/>
      </w:pPr>
      <w:r>
        <w:t>Dostarczone produkty/urządzenia/sprzęt/maszyny</w:t>
      </w:r>
      <w:r w:rsidRPr="009F5D1D">
        <w:t xml:space="preserve"> </w:t>
      </w:r>
      <w:r>
        <w:t>etc. muszą być kompletne i sprawne technicznie, wolne od wad fizycznych i prawnych oraz pochodzić z oficjalnego kanału sprzedaży producenta na rynek Unii Europejskiej;</w:t>
      </w:r>
    </w:p>
    <w:p w14:paraId="0192FC0D" w14:textId="77777777" w:rsidR="001913FC" w:rsidRDefault="001913FC" w:rsidP="001913FC">
      <w:pPr>
        <w:numPr>
          <w:ilvl w:val="0"/>
          <w:numId w:val="48"/>
        </w:numPr>
        <w:spacing w:after="26" w:line="262" w:lineRule="auto"/>
        <w:ind w:hanging="360"/>
        <w:jc w:val="both"/>
      </w:pPr>
      <w:r>
        <w:t>Do wszystkich produktów/urządzeń/sprzętu/maszyn</w:t>
      </w:r>
      <w:r w:rsidRPr="009F5D1D">
        <w:t xml:space="preserve"> </w:t>
      </w:r>
      <w:r>
        <w:t xml:space="preserve">etc. należy dołączyć wszystkie akcesoria, przewody i kable niezbędne do ich prawidłowego użytkowania (np. kabel zasilający, kable USB itd.); </w:t>
      </w:r>
    </w:p>
    <w:p w14:paraId="7EDC2FCC" w14:textId="77777777" w:rsidR="001913FC" w:rsidRDefault="001913FC" w:rsidP="001913FC">
      <w:pPr>
        <w:numPr>
          <w:ilvl w:val="0"/>
          <w:numId w:val="48"/>
        </w:numPr>
        <w:spacing w:after="26" w:line="262" w:lineRule="auto"/>
        <w:ind w:hanging="360"/>
        <w:jc w:val="both"/>
      </w:pPr>
      <w:r>
        <w:t xml:space="preserve">Wykonawca zobowiązuje się na czas trwania gwarancji do nieodpłatnego usuwania zgłaszanych wad lub usterek na zasadach określonych we wzorze umowy; </w:t>
      </w:r>
    </w:p>
    <w:p w14:paraId="6022A456" w14:textId="77777777" w:rsidR="001913FC" w:rsidRDefault="001913FC" w:rsidP="001913FC">
      <w:pPr>
        <w:numPr>
          <w:ilvl w:val="0"/>
          <w:numId w:val="48"/>
        </w:numPr>
        <w:spacing w:after="26" w:line="262" w:lineRule="auto"/>
        <w:ind w:hanging="360"/>
        <w:jc w:val="both"/>
      </w:pPr>
      <w:r>
        <w:lastRenderedPageBreak/>
        <w:t xml:space="preserve">Wykonawca zapewni dostęp do pomocy technicznej, umożliwiającej zgłaszanie wad lub usterek za pomocą Internetu lub telefonicznie; </w:t>
      </w:r>
    </w:p>
    <w:p w14:paraId="2C076CF5" w14:textId="77777777" w:rsidR="001913FC" w:rsidRDefault="001913FC" w:rsidP="001913FC">
      <w:pPr>
        <w:numPr>
          <w:ilvl w:val="0"/>
          <w:numId w:val="48"/>
        </w:numPr>
        <w:spacing w:after="26" w:line="262" w:lineRule="auto"/>
        <w:ind w:hanging="360"/>
        <w:jc w:val="both"/>
      </w:pPr>
      <w:r>
        <w:t xml:space="preserve">Wykonawca wraz z </w:t>
      </w:r>
      <w:r w:rsidRPr="0072712D">
        <w:t>produk</w:t>
      </w:r>
      <w:r>
        <w:t>tami</w:t>
      </w:r>
      <w:r w:rsidRPr="0072712D">
        <w:t>/urządzenia</w:t>
      </w:r>
      <w:r>
        <w:t>mi</w:t>
      </w:r>
      <w:r w:rsidRPr="0072712D">
        <w:t>/sprzęt</w:t>
      </w:r>
      <w:r>
        <w:t>em</w:t>
      </w:r>
      <w:r w:rsidRPr="0072712D">
        <w:t>/maszyn</w:t>
      </w:r>
      <w:r>
        <w:t>ami</w:t>
      </w:r>
      <w:r w:rsidRPr="0072712D">
        <w:t xml:space="preserve"> etc. </w:t>
      </w:r>
      <w:r>
        <w:t xml:space="preserve">dostarczy listę numerów seryjnych/licencji dostarczonego przedmiotu umowy poprzez wpisanie ich do Protokołu Odbioru Jakościowego; </w:t>
      </w:r>
    </w:p>
    <w:p w14:paraId="33EBB431" w14:textId="77777777" w:rsidR="001913FC" w:rsidRDefault="001913FC" w:rsidP="001913FC">
      <w:pPr>
        <w:numPr>
          <w:ilvl w:val="0"/>
          <w:numId w:val="48"/>
        </w:numPr>
        <w:spacing w:after="26" w:line="262" w:lineRule="auto"/>
        <w:ind w:hanging="360"/>
        <w:jc w:val="both"/>
      </w:pPr>
      <w:r>
        <w:t xml:space="preserve">Wykonawca ponosi odpowiedzialność za braki i wady przedmiotu umowy powstałe w czasie transportu; </w:t>
      </w:r>
    </w:p>
    <w:p w14:paraId="746C96B0" w14:textId="77777777" w:rsidR="001913FC" w:rsidRDefault="001913FC" w:rsidP="001913FC">
      <w:pPr>
        <w:numPr>
          <w:ilvl w:val="0"/>
          <w:numId w:val="48"/>
        </w:numPr>
        <w:spacing w:after="26" w:line="262" w:lineRule="auto"/>
        <w:ind w:hanging="360"/>
        <w:jc w:val="both"/>
      </w:pPr>
      <w:r>
        <w:t xml:space="preserve">Wykonawca zobowiązany jest w cenie oferty uwzględnić koszty transportu (dostarczenia) do miejsca odbioru, rozładunku i wniesienia; </w:t>
      </w:r>
    </w:p>
    <w:p w14:paraId="04DDC471" w14:textId="77777777" w:rsidR="001913FC" w:rsidRDefault="001913FC" w:rsidP="001913FC">
      <w:pPr>
        <w:numPr>
          <w:ilvl w:val="0"/>
          <w:numId w:val="48"/>
        </w:numPr>
        <w:spacing w:after="26" w:line="262" w:lineRule="auto"/>
        <w:ind w:hanging="360"/>
        <w:jc w:val="both"/>
      </w:pPr>
      <w:r>
        <w:t xml:space="preserve">Przedmiot zamówienia obejmuje również utrzymywanie porządku w czasie rozładunku prowadzonego na terenie obiektu, zabezpieczenie ścian, podłóg i otworów drzwiowych przed porysowaniem lub zniszczeniem, rozpakowywanie elementów wyposażenia i po zakończeniu dostawy, nadto usunięcia zbędnych opakowań z obiektu oraz ich utylizacja na swój koszt. Zamawiający nie zapewnia miejsca utylizacji opakowań i odpadów; </w:t>
      </w:r>
    </w:p>
    <w:p w14:paraId="4AC5E91C" w14:textId="77777777" w:rsidR="001913FC" w:rsidRDefault="001913FC" w:rsidP="001913FC">
      <w:pPr>
        <w:numPr>
          <w:ilvl w:val="0"/>
          <w:numId w:val="48"/>
        </w:numPr>
        <w:spacing w:after="37" w:line="256" w:lineRule="auto"/>
        <w:ind w:hanging="360"/>
        <w:jc w:val="both"/>
      </w:pPr>
      <w:r>
        <w:t>Zamawiający wymaga się, aby oferowany przedmiot zamówienia (</w:t>
      </w:r>
      <w:r w:rsidRPr="0072712D">
        <w:t>produkty/urządzenia/sprzęt/maszyny etc.</w:t>
      </w:r>
      <w:r>
        <w:t xml:space="preserve">) posiadały minimalny okres gwarancji wskazany w </w:t>
      </w:r>
      <w:r>
        <w:rPr>
          <w:b/>
        </w:rPr>
        <w:t>SWZ</w:t>
      </w:r>
      <w:r>
        <w:t xml:space="preserve"> dla poszczególnych elementów wchodzących w skład danej części zamówienia. </w:t>
      </w:r>
      <w:r>
        <w:rPr>
          <w:b/>
        </w:rPr>
        <w:t>Gwarancja stanowi kryterium oceny Zamawiający przyzna punkty za każdy zaoferowany dodatkowy miesiąc gwarancji w stosunku do minimalnego okresu (terminu) gwarancji wskazanego w poniższej tabeli; Patrz kryterium oceny ofert w SWZ.</w:t>
      </w:r>
      <w:r>
        <w:t xml:space="preserve"> </w:t>
      </w:r>
    </w:p>
    <w:p w14:paraId="258CAAA5" w14:textId="77777777" w:rsidR="001913FC" w:rsidRDefault="001913FC" w:rsidP="001913FC">
      <w:pPr>
        <w:numPr>
          <w:ilvl w:val="1"/>
          <w:numId w:val="48"/>
        </w:numPr>
        <w:spacing w:after="26" w:line="262" w:lineRule="auto"/>
        <w:ind w:hanging="360"/>
        <w:jc w:val="both"/>
      </w:pPr>
      <w:r>
        <w:t xml:space="preserve">Wykonawca w ofercie wskaże producenta i model i/lub numer katalogowy oferowanych produktów i urządzeń oraz link </w:t>
      </w:r>
      <w:r>
        <w:rPr>
          <w:b/>
          <w:u w:val="single" w:color="000000"/>
        </w:rPr>
        <w:t>do stron</w:t>
      </w:r>
      <w:r>
        <w:rPr>
          <w:b/>
        </w:rPr>
        <w:t xml:space="preserve"> </w:t>
      </w:r>
      <w:r>
        <w:rPr>
          <w:b/>
          <w:u w:val="single" w:color="000000"/>
        </w:rPr>
        <w:t xml:space="preserve">internetowych </w:t>
      </w:r>
      <w:r>
        <w:t xml:space="preserve">(adresy stron WWW oferowanych urządzeń/produktów/ oprogramowania w celu wyeliminowania wątpliwości zalecana jest strona producenta) oferowanych produktów i urządzeń zawierającej kartę techniczną/ konfigurację,  </w:t>
      </w:r>
    </w:p>
    <w:p w14:paraId="207B3CC2" w14:textId="2E92DA2D" w:rsidR="001913FC" w:rsidRDefault="001913FC" w:rsidP="001913FC">
      <w:pPr>
        <w:numPr>
          <w:ilvl w:val="1"/>
          <w:numId w:val="48"/>
        </w:numPr>
        <w:spacing w:after="35" w:line="255" w:lineRule="auto"/>
        <w:ind w:hanging="360"/>
        <w:jc w:val="both"/>
      </w:pPr>
      <w:r>
        <w:t xml:space="preserve">w przypadku braku linku </w:t>
      </w:r>
      <w:r>
        <w:rPr>
          <w:b/>
        </w:rPr>
        <w:t xml:space="preserve">do strony internetowej </w:t>
      </w:r>
      <w:r>
        <w:t xml:space="preserve">oferowanego produktu/urządzenia np. w przypadku występowania pod numerem modelu różnych konfiguracji, Zamawiający zamiast linków żąda dołączenia do oferty innych przedmiotowych środków dowodowych (w szczególności: </w:t>
      </w:r>
      <w:r>
        <w:rPr>
          <w:i/>
        </w:rPr>
        <w:t xml:space="preserve">karta katalogowa, specyfikacja techniczna, dokumentacja licencyjna, dokumentacja oprogramowania lub oświadczenie producenta urządzenia lub inne przedmiotowe środki dowodowe, z których wynika sposób spełnienia danego wymagania. Wymienione dokumenty </w:t>
      </w:r>
      <w:r>
        <w:rPr>
          <w:i/>
        </w:rPr>
        <w:lastRenderedPageBreak/>
        <w:t xml:space="preserve">muszą zawierać nazwę producenta i model) </w:t>
      </w:r>
      <w:r>
        <w:t xml:space="preserve">zawierających szczegółową konfigurację oferowanych urządzeń. W takim przypadku w kol. 5 załącznika nr 9A do SWZ w miejscu „link do strony producenta oferowanego produktu” należy wpisać „zgodnie z załączoną kartą katalogową”. Powyższy wymóg ma na celu jednoznaczną identyfikację parametrów oferowanych produktów /urządzeń,  </w:t>
      </w:r>
    </w:p>
    <w:p w14:paraId="32D69686" w14:textId="77777777" w:rsidR="001913FC" w:rsidRDefault="001913FC" w:rsidP="001913FC">
      <w:pPr>
        <w:numPr>
          <w:ilvl w:val="1"/>
          <w:numId w:val="48"/>
        </w:numPr>
        <w:spacing w:after="26" w:line="262" w:lineRule="auto"/>
        <w:ind w:hanging="360"/>
        <w:jc w:val="both"/>
      </w:pPr>
      <w:r>
        <w:rPr>
          <w:b/>
        </w:rPr>
        <w:t>Uwaga!</w:t>
      </w:r>
      <w:r>
        <w:t xml:space="preserve"> Jako karta katalogowa lub inny przedmiotowy środek dowodowy nie może zostać złożony opis przedmiotu zamówienia Zamawiającego podpisany przez Wykonawcę,  </w:t>
      </w:r>
    </w:p>
    <w:p w14:paraId="6D59676C" w14:textId="03A79237" w:rsidR="001913FC" w:rsidRDefault="001913FC" w:rsidP="001913FC">
      <w:pPr>
        <w:numPr>
          <w:ilvl w:val="1"/>
          <w:numId w:val="48"/>
        </w:numPr>
        <w:spacing w:after="26" w:line="262" w:lineRule="auto"/>
        <w:ind w:hanging="360"/>
        <w:jc w:val="both"/>
      </w:pPr>
      <w:r>
        <w:t xml:space="preserve">brak podania w </w:t>
      </w:r>
      <w:r>
        <w:rPr>
          <w:b/>
        </w:rPr>
        <w:t>załączniku nr 9A do SWZ</w:t>
      </w:r>
      <w:r>
        <w:t xml:space="preserve"> nazwy producenta i/ lub modelu i/lub numer katalogowy i linku do strony internetowej producenta oferowanego produktu/urządzenia zawierającej kartę techniczną oferowanych urządzeń i produktów po wezwaniu i nie uzupełnieniu ich spowoduje odrzucenie oferty na podstawie art. 226 ust. 1 pkt 5 ustawy Pzp.</w:t>
      </w:r>
      <w:r>
        <w:rPr>
          <w:b/>
        </w:rPr>
        <w:t xml:space="preserve"> </w:t>
      </w:r>
      <w:r>
        <w:t xml:space="preserve"> </w:t>
      </w:r>
    </w:p>
    <w:p w14:paraId="19F50C49" w14:textId="08C28E30" w:rsidR="00C307DC" w:rsidRPr="00252709" w:rsidRDefault="001913FC" w:rsidP="001913FC">
      <w:pPr>
        <w:numPr>
          <w:ilvl w:val="0"/>
          <w:numId w:val="48"/>
        </w:numPr>
        <w:spacing w:after="37" w:line="256" w:lineRule="auto"/>
        <w:jc w:val="both"/>
      </w:pPr>
      <w:r>
        <w:t xml:space="preserve">Zamawiający przez producenta, o którym mowa </w:t>
      </w:r>
      <w:r w:rsidRPr="0006446C">
        <w:t>ppkt 1</w:t>
      </w:r>
      <w:r>
        <w:t>3</w:t>
      </w:r>
      <w:r w:rsidRPr="0006446C">
        <w:t xml:space="preserve"> rozumie</w:t>
      </w:r>
      <w:r>
        <w:t xml:space="preserve"> podmiot, o którym mowa w art. 3 pkt 2 lit. a ustawy z dnia 12 grudnia 2003 r. o ogólnym bezpieczeństwie produktów (tekst jednolity Dz.U.2021.222) - dalej „</w:t>
      </w:r>
      <w:proofErr w:type="spellStart"/>
      <w:r>
        <w:t>uoBP</w:t>
      </w:r>
      <w:proofErr w:type="spellEnd"/>
      <w:r>
        <w:t xml:space="preserve">”. W przypadku, gdy wykonawca (dostawca) jest jednocześnie producentem w rozumieniu art. 3 pkt 2 lit. b i c </w:t>
      </w:r>
      <w:proofErr w:type="spellStart"/>
      <w:r>
        <w:t>uoBP</w:t>
      </w:r>
      <w:proofErr w:type="spellEnd"/>
      <w:r>
        <w:t xml:space="preserve">, wówczas w miejscu producent wpisuje producenta (zgodnie z art. 3 pkt 2 lit a </w:t>
      </w:r>
      <w:proofErr w:type="spellStart"/>
      <w:r>
        <w:t>uoBP</w:t>
      </w:r>
      <w:proofErr w:type="spellEnd"/>
      <w:r>
        <w:t xml:space="preserve"> oraz dane: przedstawiciela wytwórcy, a jeżeli wytwórca nie wyznaczył przedstawiciela - importera produkt, lub przedsiębiorcę uczestniczącego w dowolnym etapie procesu dostarczania lub udostępniania produktu, jeżeli jego działanie może wpływać na właściwości produktu związane z jego bezpieczeństwem (art. 3 pkt 2 lit. b i c </w:t>
      </w:r>
      <w:proofErr w:type="spellStart"/>
      <w:r>
        <w:t>uoBP</w:t>
      </w:r>
      <w:proofErr w:type="spellEnd"/>
      <w:r>
        <w:t>).</w:t>
      </w:r>
    </w:p>
    <w:sectPr w:rsidR="00C307DC" w:rsidRPr="00252709" w:rsidSect="000213EF">
      <w:headerReference w:type="even" r:id="rId8"/>
      <w:headerReference w:type="default" r:id="rId9"/>
      <w:footerReference w:type="even" r:id="rId10"/>
      <w:footerReference w:type="default" r:id="rId11"/>
      <w:headerReference w:type="first" r:id="rId12"/>
      <w:footerReference w:type="first" r:id="rId13"/>
      <w:pgSz w:w="11900" w:h="16840"/>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F1D51" w14:textId="77777777" w:rsidR="00C513C7" w:rsidRDefault="00C513C7" w:rsidP="00FC0782">
      <w:r>
        <w:separator/>
      </w:r>
    </w:p>
  </w:endnote>
  <w:endnote w:type="continuationSeparator" w:id="0">
    <w:p w14:paraId="740FE022" w14:textId="77777777" w:rsidR="00C513C7" w:rsidRDefault="00C513C7" w:rsidP="00FC0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Nova">
    <w:panose1 w:val="020B0504020202020204"/>
    <w:charset w:val="EE"/>
    <w:family w:val="swiss"/>
    <w:pitch w:val="variable"/>
    <w:sig w:usb0="2000028F" w:usb1="00000002" w:usb2="00000000" w:usb3="00000000" w:csb0="0000019F" w:csb1="00000000"/>
  </w:font>
  <w:font w:name="Czcionka tekstu podstawoweg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15CFB" w14:textId="77777777" w:rsidR="00C31331" w:rsidRDefault="00C313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0A7FC" w14:textId="77777777" w:rsidR="00C31331" w:rsidRDefault="00C3133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A8905" w14:textId="77777777" w:rsidR="00C31331" w:rsidRDefault="00C313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627BA" w14:textId="77777777" w:rsidR="00C513C7" w:rsidRDefault="00C513C7" w:rsidP="00FC0782">
      <w:r>
        <w:separator/>
      </w:r>
    </w:p>
  </w:footnote>
  <w:footnote w:type="continuationSeparator" w:id="0">
    <w:p w14:paraId="0C843546" w14:textId="77777777" w:rsidR="00C513C7" w:rsidRDefault="00C513C7" w:rsidP="00FC0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19847" w14:textId="77777777" w:rsidR="00C31331" w:rsidRDefault="00C313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506A1" w14:textId="37663144" w:rsidR="00B415A3" w:rsidRDefault="00B415A3" w:rsidP="00B415A3">
    <w:pPr>
      <w:pStyle w:val="Nagwek"/>
      <w:jc w:val="right"/>
    </w:pPr>
    <w:r>
      <w:t>Załącznik nr 8</w:t>
    </w:r>
    <w:r w:rsidR="004A5C45">
      <w:t>A</w:t>
    </w:r>
    <w:r>
      <w:t xml:space="preserve"> do SWZ</w:t>
    </w:r>
  </w:p>
  <w:p w14:paraId="2AFC2EB3" w14:textId="1C8602B2" w:rsidR="00B415A3" w:rsidRDefault="00B415A3" w:rsidP="00B415A3">
    <w:pPr>
      <w:pStyle w:val="Nagwek"/>
    </w:pPr>
    <w:r>
      <w:t>ZSR.271.</w:t>
    </w:r>
    <w:r w:rsidR="00C31331">
      <w:t>5</w:t>
    </w:r>
    <w:r>
      <w:t>.2024</w:t>
    </w:r>
  </w:p>
  <w:p w14:paraId="5C221DF6" w14:textId="23E44228" w:rsidR="0049741E" w:rsidRDefault="0049741E" w:rsidP="0049741E">
    <w:pPr>
      <w:pStyle w:val="Nagwek"/>
      <w:jc w:val="center"/>
    </w:pPr>
    <w:r w:rsidRPr="00504A73">
      <w:rPr>
        <w:rFonts w:cs="Calibri"/>
        <w:noProof/>
      </w:rPr>
      <w:drawing>
        <wp:inline distT="0" distB="0" distL="0" distR="0" wp14:anchorId="06CABF91" wp14:editId="2A3B1DA4">
          <wp:extent cx="5756910" cy="550815"/>
          <wp:effectExtent l="0" t="0" r="0" b="0"/>
          <wp:docPr id="12"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50815"/>
                  </a:xfrm>
                  <a:prstGeom prst="rect">
                    <a:avLst/>
                  </a:prstGeom>
                  <a:noFill/>
                  <a:ln>
                    <a:noFill/>
                  </a:ln>
                </pic:spPr>
              </pic:pic>
            </a:graphicData>
          </a:graphic>
        </wp:inline>
      </w:drawing>
    </w:r>
  </w:p>
  <w:p w14:paraId="13CF989C" w14:textId="2DC410A0" w:rsidR="00B415A3" w:rsidRDefault="00B415A3" w:rsidP="00B415A3">
    <w:pPr>
      <w:pStyle w:val="Nagwek"/>
      <w:jc w:val="center"/>
      <w:rPr>
        <w:b/>
        <w:bCs/>
      </w:rPr>
    </w:pPr>
    <w:r>
      <w:rPr>
        <w:b/>
        <w:bCs/>
      </w:rPr>
      <w:t>Szczegółowy opis przedmiotu zamówienia</w:t>
    </w:r>
  </w:p>
  <w:p w14:paraId="0FC085D1" w14:textId="77777777" w:rsidR="000213EF" w:rsidRDefault="000213EF" w:rsidP="00B415A3">
    <w:pPr>
      <w:pStyle w:val="Nagwek"/>
      <w:jc w:val="center"/>
      <w:rPr>
        <w:b/>
        <w:bCs/>
      </w:rPr>
    </w:pPr>
  </w:p>
  <w:p w14:paraId="1514AB67" w14:textId="77777777" w:rsidR="006541BE" w:rsidRDefault="006541BE" w:rsidP="00B415A3">
    <w:pPr>
      <w:pStyle w:val="Nagwek"/>
      <w:jc w:val="center"/>
      <w:rPr>
        <w:b/>
        <w:bCs/>
      </w:rPr>
    </w:pPr>
  </w:p>
  <w:p w14:paraId="251E9C24" w14:textId="77777777" w:rsidR="006541BE" w:rsidRPr="00322432" w:rsidRDefault="006541BE" w:rsidP="006541BE">
    <w:pPr>
      <w:shd w:val="clear" w:color="auto" w:fill="92D050"/>
      <w:spacing w:line="276" w:lineRule="auto"/>
      <w:jc w:val="both"/>
      <w:rPr>
        <w:rFonts w:ascii="Arial" w:hAnsi="Arial" w:cs="Arial"/>
        <w:b/>
        <w:sz w:val="22"/>
        <w:u w:val="single"/>
      </w:rPr>
    </w:pPr>
    <w:r w:rsidRPr="00322432">
      <w:rPr>
        <w:rFonts w:ascii="Arial" w:hAnsi="Arial" w:cs="Arial"/>
        <w:b/>
        <w:sz w:val="22"/>
        <w:u w:val="single"/>
      </w:rPr>
      <w:t xml:space="preserve">Część </w:t>
    </w:r>
    <w:r>
      <w:rPr>
        <w:rFonts w:ascii="Arial" w:hAnsi="Arial" w:cs="Arial"/>
        <w:b/>
        <w:sz w:val="22"/>
        <w:u w:val="single"/>
      </w:rPr>
      <w:t>1</w:t>
    </w:r>
    <w:r w:rsidRPr="00322432">
      <w:rPr>
        <w:rFonts w:ascii="Arial" w:hAnsi="Arial" w:cs="Arial"/>
        <w:b/>
        <w:sz w:val="22"/>
        <w:u w:val="single"/>
      </w:rPr>
      <w:t xml:space="preserve">: Dostawa </w:t>
    </w:r>
    <w:r>
      <w:rPr>
        <w:rFonts w:ascii="Arial" w:hAnsi="Arial" w:cs="Arial"/>
        <w:b/>
        <w:sz w:val="22"/>
        <w:u w:val="single"/>
      </w:rPr>
      <w:t>maszyn rolniczych</w:t>
    </w:r>
    <w:r w:rsidRPr="00322432">
      <w:rPr>
        <w:rFonts w:ascii="Arial" w:hAnsi="Arial" w:cs="Arial"/>
        <w:b/>
        <w:sz w:val="22"/>
        <w:u w:val="single"/>
      </w:rPr>
      <w:t xml:space="preserve"> </w:t>
    </w:r>
    <w:r>
      <w:rPr>
        <w:rFonts w:ascii="Arial" w:hAnsi="Arial" w:cs="Arial"/>
        <w:b/>
        <w:sz w:val="22"/>
        <w:u w:val="single"/>
      </w:rPr>
      <w:t>i</w:t>
    </w:r>
    <w:r w:rsidRPr="00E05EB6">
      <w:rPr>
        <w:rFonts w:ascii="Arial" w:hAnsi="Arial" w:cs="Arial"/>
        <w:b/>
        <w:sz w:val="22"/>
        <w:u w:val="single"/>
      </w:rPr>
      <w:t xml:space="preserve"> narzędzi ogrodniczych </w:t>
    </w:r>
    <w:r w:rsidRPr="00BA09AD">
      <w:rPr>
        <w:rFonts w:ascii="Arial" w:hAnsi="Arial" w:cs="Arial"/>
        <w:b/>
        <w:sz w:val="22"/>
        <w:u w:val="single"/>
      </w:rPr>
      <w:t>do siedziby Zamawiającego w projekcie „Agroturystyka z Witosem”</w:t>
    </w:r>
    <w:r>
      <w:rPr>
        <w:rFonts w:ascii="Arial" w:hAnsi="Arial" w:cs="Arial"/>
        <w:b/>
        <w:sz w:val="22"/>
        <w:u w:val="single"/>
      </w:rPr>
      <w:t>.</w:t>
    </w:r>
  </w:p>
  <w:p w14:paraId="2806BA1C" w14:textId="77777777" w:rsidR="006541BE" w:rsidRDefault="006541BE" w:rsidP="00B415A3">
    <w:pPr>
      <w:pStyle w:val="Nagwek"/>
      <w:jc w:val="center"/>
      <w:rPr>
        <w:b/>
        <w:bCs/>
      </w:rPr>
    </w:pPr>
  </w:p>
  <w:p w14:paraId="75128A8A" w14:textId="2767FAA6" w:rsidR="000213EF" w:rsidRDefault="000213EF" w:rsidP="00666DFE">
    <w:pPr>
      <w:jc w:val="both"/>
      <w:rPr>
        <w:rFonts w:ascii="Avenir Book" w:hAnsi="Avenir Book"/>
        <w:b/>
        <w:bCs/>
        <w:sz w:val="22"/>
        <w:szCs w:val="22"/>
      </w:rPr>
    </w:pPr>
    <w:r w:rsidRPr="00D7644C">
      <w:rPr>
        <w:rFonts w:ascii="Avenir Book" w:hAnsi="Avenir Book"/>
        <w:b/>
        <w:bCs/>
        <w:sz w:val="22"/>
        <w:szCs w:val="22"/>
      </w:rPr>
      <w:t>Opis min. parametrów technicznych (poniższe parametry techniczne są minimalnymi wymogami</w:t>
    </w:r>
    <w:r w:rsidR="00666DFE">
      <w:rPr>
        <w:rFonts w:ascii="Avenir Book" w:hAnsi="Avenir Book"/>
        <w:b/>
        <w:bCs/>
        <w:sz w:val="22"/>
        <w:szCs w:val="22"/>
      </w:rPr>
      <w:t xml:space="preserve"> Z</w:t>
    </w:r>
    <w:r w:rsidRPr="00D7644C">
      <w:rPr>
        <w:rFonts w:ascii="Avenir Book" w:hAnsi="Avenir Book"/>
        <w:b/>
        <w:bCs/>
        <w:sz w:val="22"/>
        <w:szCs w:val="22"/>
      </w:rPr>
      <w:t xml:space="preserve">amawiającego jednocześnie stanowią wskazanie minimalne wymogi dla urządzeń </w:t>
    </w:r>
    <w:bookmarkStart w:id="2" w:name="_GoBack"/>
    <w:bookmarkEnd w:id="2"/>
    <w:r w:rsidRPr="00D7644C">
      <w:rPr>
        <w:rFonts w:ascii="Avenir Book" w:hAnsi="Avenir Book"/>
        <w:b/>
        <w:bCs/>
        <w:sz w:val="22"/>
        <w:szCs w:val="22"/>
      </w:rPr>
      <w:t>równoważnych)</w:t>
    </w:r>
    <w:r>
      <w:rPr>
        <w:rFonts w:ascii="Avenir Book" w:hAnsi="Avenir Book"/>
        <w:b/>
        <w:bCs/>
        <w:sz w:val="22"/>
        <w:szCs w:val="22"/>
      </w:rPr>
      <w:t>.</w:t>
    </w:r>
  </w:p>
  <w:p w14:paraId="5FE67BD3" w14:textId="77777777" w:rsidR="00B415A3" w:rsidRDefault="00B415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53004" w14:textId="77777777" w:rsidR="00C31331" w:rsidRDefault="00C313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E6B7D"/>
    <w:multiLevelType w:val="hybridMultilevel"/>
    <w:tmpl w:val="B1E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4E140E"/>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D46BB4"/>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F80F44"/>
    <w:multiLevelType w:val="hybridMultilevel"/>
    <w:tmpl w:val="B1D8254C"/>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B857B2"/>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174C35"/>
    <w:multiLevelType w:val="hybridMultilevel"/>
    <w:tmpl w:val="AE8E3260"/>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2C7927"/>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823961"/>
    <w:multiLevelType w:val="hybridMultilevel"/>
    <w:tmpl w:val="765292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24F15FC2"/>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2F3061"/>
    <w:multiLevelType w:val="hybridMultilevel"/>
    <w:tmpl w:val="4DB8241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10" w15:restartNumberingAfterBreak="0">
    <w:nsid w:val="260009A5"/>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14696C"/>
    <w:multiLevelType w:val="hybridMultilevel"/>
    <w:tmpl w:val="2D14C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3408CB"/>
    <w:multiLevelType w:val="multilevel"/>
    <w:tmpl w:val="7E8AEA92"/>
    <w:lvl w:ilvl="0">
      <w:start w:val="1"/>
      <w:numFmt w:val="decimal"/>
      <w:lvlText w:val="%1."/>
      <w:lvlJc w:val="left"/>
      <w:pPr>
        <w:ind w:left="927"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1C5B30"/>
    <w:multiLevelType w:val="hybridMultilevel"/>
    <w:tmpl w:val="26A2A090"/>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1C87ABC"/>
    <w:multiLevelType w:val="hybridMultilevel"/>
    <w:tmpl w:val="7F649EBE"/>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347D6CA2"/>
    <w:multiLevelType w:val="hybridMultilevel"/>
    <w:tmpl w:val="AEF43D1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7463F66"/>
    <w:multiLevelType w:val="multilevel"/>
    <w:tmpl w:val="7E8AEA92"/>
    <w:lvl w:ilvl="0">
      <w:start w:val="1"/>
      <w:numFmt w:val="decimal"/>
      <w:lvlText w:val="%1."/>
      <w:lvlJc w:val="left"/>
      <w:pPr>
        <w:ind w:left="927"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D2E53E1"/>
    <w:multiLevelType w:val="hybridMultilevel"/>
    <w:tmpl w:val="8E9CA1E0"/>
    <w:lvl w:ilvl="0" w:tplc="0415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40DF66A5"/>
    <w:multiLevelType w:val="hybridMultilevel"/>
    <w:tmpl w:val="6478DE8C"/>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564B2B"/>
    <w:multiLevelType w:val="hybridMultilevel"/>
    <w:tmpl w:val="D7788FB2"/>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0" w15:restartNumberingAfterBreak="0">
    <w:nsid w:val="45E40CB0"/>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679496C"/>
    <w:multiLevelType w:val="hybridMultilevel"/>
    <w:tmpl w:val="17265064"/>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3C1B3F"/>
    <w:multiLevelType w:val="hybridMultilevel"/>
    <w:tmpl w:val="E914456A"/>
    <w:lvl w:ilvl="0" w:tplc="5BF8A07A">
      <w:start w:val="1"/>
      <w:numFmt w:val="decimal"/>
      <w:lvlText w:val="%1."/>
      <w:lvlJc w:val="left"/>
      <w:pPr>
        <w:ind w:left="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3EDEF6">
      <w:start w:val="1"/>
      <w:numFmt w:val="decimal"/>
      <w:lvlText w:val="%2)"/>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CE2BF0">
      <w:start w:val="1"/>
      <w:numFmt w:val="lowerRoman"/>
      <w:lvlText w:val="%3"/>
      <w:lvlJc w:val="left"/>
      <w:pPr>
        <w:ind w:left="1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1A69AA">
      <w:start w:val="1"/>
      <w:numFmt w:val="decimal"/>
      <w:lvlText w:val="%4"/>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141262">
      <w:start w:val="1"/>
      <w:numFmt w:val="lowerLetter"/>
      <w:lvlText w:val="%5"/>
      <w:lvlJc w:val="left"/>
      <w:pPr>
        <w:ind w:left="3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56F0F8">
      <w:start w:val="1"/>
      <w:numFmt w:val="lowerRoman"/>
      <w:lvlText w:val="%6"/>
      <w:lvlJc w:val="left"/>
      <w:pPr>
        <w:ind w:left="3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E629EA">
      <w:start w:val="1"/>
      <w:numFmt w:val="decimal"/>
      <w:lvlText w:val="%7"/>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B802AC">
      <w:start w:val="1"/>
      <w:numFmt w:val="lowerLetter"/>
      <w:lvlText w:val="%8"/>
      <w:lvlJc w:val="left"/>
      <w:pPr>
        <w:ind w:left="5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7EAD72">
      <w:start w:val="1"/>
      <w:numFmt w:val="lowerRoman"/>
      <w:lvlText w:val="%9"/>
      <w:lvlJc w:val="left"/>
      <w:pPr>
        <w:ind w:left="6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BC750C8"/>
    <w:multiLevelType w:val="multilevel"/>
    <w:tmpl w:val="9D80CC9E"/>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D13120F"/>
    <w:multiLevelType w:val="hybridMultilevel"/>
    <w:tmpl w:val="06C062F2"/>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F857A9"/>
    <w:multiLevelType w:val="hybridMultilevel"/>
    <w:tmpl w:val="5E2A0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F6B12A4"/>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26C2F13"/>
    <w:multiLevelType w:val="multilevel"/>
    <w:tmpl w:val="9D80CC9E"/>
    <w:styleLink w:val="Biecalista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37732FF"/>
    <w:multiLevelType w:val="hybridMultilevel"/>
    <w:tmpl w:val="7682C8F2"/>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5043046"/>
    <w:multiLevelType w:val="hybridMultilevel"/>
    <w:tmpl w:val="41BE8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461CD6"/>
    <w:multiLevelType w:val="hybridMultilevel"/>
    <w:tmpl w:val="6FAA59A6"/>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620C246C"/>
    <w:multiLevelType w:val="hybridMultilevel"/>
    <w:tmpl w:val="ED94DF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20C3787"/>
    <w:multiLevelType w:val="multilevel"/>
    <w:tmpl w:val="7E8AEA92"/>
    <w:styleLink w:val="Biecalista1"/>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51D4561"/>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69E7B29"/>
    <w:multiLevelType w:val="hybridMultilevel"/>
    <w:tmpl w:val="18B4385E"/>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C525A8"/>
    <w:multiLevelType w:val="hybridMultilevel"/>
    <w:tmpl w:val="C3985AD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6A576020"/>
    <w:multiLevelType w:val="hybridMultilevel"/>
    <w:tmpl w:val="DF1256C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A72741B"/>
    <w:multiLevelType w:val="hybridMultilevel"/>
    <w:tmpl w:val="FEA252FA"/>
    <w:lvl w:ilvl="0" w:tplc="F4F05ACE">
      <w:numFmt w:val="bullet"/>
      <w:lvlText w:val="•"/>
      <w:lvlJc w:val="left"/>
      <w:pPr>
        <w:ind w:left="1060" w:hanging="700"/>
      </w:pPr>
      <w:rPr>
        <w:rFonts w:ascii="Avenir Book" w:eastAsiaTheme="minorHAnsi" w:hAnsi="Avenir Book"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D35BD8"/>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D3A1AFC"/>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44A7BC9"/>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4D97D5F"/>
    <w:multiLevelType w:val="hybridMultilevel"/>
    <w:tmpl w:val="FDA40634"/>
    <w:lvl w:ilvl="0" w:tplc="04150001">
      <w:start w:val="1"/>
      <w:numFmt w:val="bullet"/>
      <w:lvlText w:val=""/>
      <w:lvlJc w:val="left"/>
      <w:pPr>
        <w:ind w:left="1068" w:hanging="360"/>
      </w:pPr>
      <w:rPr>
        <w:rFonts w:ascii="Symbol" w:hAnsi="Symbol" w:hint="default"/>
      </w:rPr>
    </w:lvl>
    <w:lvl w:ilvl="1" w:tplc="23980588">
      <w:numFmt w:val="bullet"/>
      <w:lvlText w:val="•"/>
      <w:lvlJc w:val="left"/>
      <w:pPr>
        <w:ind w:left="2488" w:hanging="700"/>
      </w:pPr>
      <w:rPr>
        <w:rFonts w:ascii="Avenir Book" w:eastAsiaTheme="minorHAnsi" w:hAnsi="Avenir Book" w:cs="Calibri"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752E2442"/>
    <w:multiLevelType w:val="multilevel"/>
    <w:tmpl w:val="98A80C6C"/>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89960FD"/>
    <w:multiLevelType w:val="multilevel"/>
    <w:tmpl w:val="7E8AEA9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CC4E09"/>
    <w:multiLevelType w:val="hybridMultilevel"/>
    <w:tmpl w:val="127A39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EE64A5"/>
    <w:multiLevelType w:val="hybridMultilevel"/>
    <w:tmpl w:val="A5FE6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EF7A86"/>
    <w:multiLevelType w:val="hybridMultilevel"/>
    <w:tmpl w:val="9800A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C616D33"/>
    <w:multiLevelType w:val="hybridMultilevel"/>
    <w:tmpl w:val="1D34AF64"/>
    <w:lvl w:ilvl="0" w:tplc="3902584C">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6C2E24">
      <w:start w:val="3"/>
      <w:numFmt w:val="lowerLetter"/>
      <w:lvlText w:val="%2)"/>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9E20C4">
      <w:start w:val="1"/>
      <w:numFmt w:val="lowerRoman"/>
      <w:lvlText w:val="%3"/>
      <w:lvlJc w:val="left"/>
      <w:pPr>
        <w:ind w:left="1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70837C">
      <w:start w:val="1"/>
      <w:numFmt w:val="decimal"/>
      <w:lvlText w:val="%4"/>
      <w:lvlJc w:val="left"/>
      <w:pPr>
        <w:ind w:left="21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724E70">
      <w:start w:val="1"/>
      <w:numFmt w:val="lowerLetter"/>
      <w:lvlText w:val="%5"/>
      <w:lvlJc w:val="left"/>
      <w:pPr>
        <w:ind w:left="28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64AD02">
      <w:start w:val="1"/>
      <w:numFmt w:val="lowerRoman"/>
      <w:lvlText w:val="%6"/>
      <w:lvlJc w:val="left"/>
      <w:pPr>
        <w:ind w:left="36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E8AD36">
      <w:start w:val="1"/>
      <w:numFmt w:val="decimal"/>
      <w:lvlText w:val="%7"/>
      <w:lvlJc w:val="left"/>
      <w:pPr>
        <w:ind w:left="43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78AE42">
      <w:start w:val="1"/>
      <w:numFmt w:val="lowerLetter"/>
      <w:lvlText w:val="%8"/>
      <w:lvlJc w:val="left"/>
      <w:pPr>
        <w:ind w:left="50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54892A">
      <w:start w:val="1"/>
      <w:numFmt w:val="lowerRoman"/>
      <w:lvlText w:val="%9"/>
      <w:lvlJc w:val="left"/>
      <w:pPr>
        <w:ind w:left="57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1"/>
  </w:num>
  <w:num w:numId="3">
    <w:abstractNumId w:val="43"/>
  </w:num>
  <w:num w:numId="4">
    <w:abstractNumId w:val="7"/>
  </w:num>
  <w:num w:numId="5">
    <w:abstractNumId w:val="35"/>
  </w:num>
  <w:num w:numId="6">
    <w:abstractNumId w:val="14"/>
  </w:num>
  <w:num w:numId="7">
    <w:abstractNumId w:val="41"/>
  </w:num>
  <w:num w:numId="8">
    <w:abstractNumId w:val="31"/>
  </w:num>
  <w:num w:numId="9">
    <w:abstractNumId w:val="32"/>
  </w:num>
  <w:num w:numId="10">
    <w:abstractNumId w:val="13"/>
  </w:num>
  <w:num w:numId="11">
    <w:abstractNumId w:val="0"/>
  </w:num>
  <w:num w:numId="12">
    <w:abstractNumId w:val="46"/>
  </w:num>
  <w:num w:numId="13">
    <w:abstractNumId w:val="34"/>
  </w:num>
  <w:num w:numId="14">
    <w:abstractNumId w:val="24"/>
  </w:num>
  <w:num w:numId="15">
    <w:abstractNumId w:val="28"/>
  </w:num>
  <w:num w:numId="16">
    <w:abstractNumId w:val="5"/>
  </w:num>
  <w:num w:numId="17">
    <w:abstractNumId w:val="18"/>
  </w:num>
  <w:num w:numId="18">
    <w:abstractNumId w:val="26"/>
  </w:num>
  <w:num w:numId="19">
    <w:abstractNumId w:val="45"/>
  </w:num>
  <w:num w:numId="20">
    <w:abstractNumId w:val="37"/>
  </w:num>
  <w:num w:numId="21">
    <w:abstractNumId w:val="3"/>
  </w:num>
  <w:num w:numId="22">
    <w:abstractNumId w:val="21"/>
  </w:num>
  <w:num w:numId="23">
    <w:abstractNumId w:val="39"/>
  </w:num>
  <w:num w:numId="24">
    <w:abstractNumId w:val="6"/>
  </w:num>
  <w:num w:numId="25">
    <w:abstractNumId w:val="44"/>
  </w:num>
  <w:num w:numId="26">
    <w:abstractNumId w:val="42"/>
  </w:num>
  <w:num w:numId="27">
    <w:abstractNumId w:val="20"/>
  </w:num>
  <w:num w:numId="28">
    <w:abstractNumId w:val="4"/>
  </w:num>
  <w:num w:numId="29">
    <w:abstractNumId w:val="8"/>
  </w:num>
  <w:num w:numId="30">
    <w:abstractNumId w:val="33"/>
  </w:num>
  <w:num w:numId="31">
    <w:abstractNumId w:val="23"/>
  </w:num>
  <w:num w:numId="32">
    <w:abstractNumId w:val="40"/>
  </w:num>
  <w:num w:numId="33">
    <w:abstractNumId w:val="11"/>
  </w:num>
  <w:num w:numId="34">
    <w:abstractNumId w:val="17"/>
  </w:num>
  <w:num w:numId="35">
    <w:abstractNumId w:val="27"/>
  </w:num>
  <w:num w:numId="36">
    <w:abstractNumId w:val="19"/>
  </w:num>
  <w:num w:numId="37">
    <w:abstractNumId w:val="9"/>
  </w:num>
  <w:num w:numId="38">
    <w:abstractNumId w:val="30"/>
  </w:num>
  <w:num w:numId="39">
    <w:abstractNumId w:val="29"/>
  </w:num>
  <w:num w:numId="40">
    <w:abstractNumId w:val="25"/>
  </w:num>
  <w:num w:numId="41">
    <w:abstractNumId w:val="15"/>
  </w:num>
  <w:num w:numId="42">
    <w:abstractNumId w:val="36"/>
  </w:num>
  <w:num w:numId="43">
    <w:abstractNumId w:val="38"/>
  </w:num>
  <w:num w:numId="44">
    <w:abstractNumId w:val="10"/>
  </w:num>
  <w:num w:numId="45">
    <w:abstractNumId w:val="16"/>
  </w:num>
  <w:num w:numId="46">
    <w:abstractNumId w:val="2"/>
  </w:num>
  <w:num w:numId="47">
    <w:abstractNumId w:val="47"/>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37"/>
    <w:rsid w:val="000213EF"/>
    <w:rsid w:val="00031686"/>
    <w:rsid w:val="00045102"/>
    <w:rsid w:val="000806FD"/>
    <w:rsid w:val="000E3147"/>
    <w:rsid w:val="000F0FC4"/>
    <w:rsid w:val="00107262"/>
    <w:rsid w:val="001154B2"/>
    <w:rsid w:val="00116B45"/>
    <w:rsid w:val="001512DF"/>
    <w:rsid w:val="001620A8"/>
    <w:rsid w:val="00181A4B"/>
    <w:rsid w:val="001913FC"/>
    <w:rsid w:val="001E4BD5"/>
    <w:rsid w:val="001F5320"/>
    <w:rsid w:val="002206F7"/>
    <w:rsid w:val="00220C12"/>
    <w:rsid w:val="00226711"/>
    <w:rsid w:val="00247BDF"/>
    <w:rsid w:val="00251CC2"/>
    <w:rsid w:val="00252709"/>
    <w:rsid w:val="00260E13"/>
    <w:rsid w:val="00286E57"/>
    <w:rsid w:val="002D580B"/>
    <w:rsid w:val="003055CE"/>
    <w:rsid w:val="00337A40"/>
    <w:rsid w:val="00341091"/>
    <w:rsid w:val="003415D0"/>
    <w:rsid w:val="003422F6"/>
    <w:rsid w:val="003512C3"/>
    <w:rsid w:val="00365A0A"/>
    <w:rsid w:val="00375A8E"/>
    <w:rsid w:val="0038663C"/>
    <w:rsid w:val="00387606"/>
    <w:rsid w:val="003979BD"/>
    <w:rsid w:val="00397AEC"/>
    <w:rsid w:val="003A26C3"/>
    <w:rsid w:val="003A6F6F"/>
    <w:rsid w:val="003B14D3"/>
    <w:rsid w:val="003B35A0"/>
    <w:rsid w:val="003E5DB0"/>
    <w:rsid w:val="0040429B"/>
    <w:rsid w:val="0040478C"/>
    <w:rsid w:val="0040566E"/>
    <w:rsid w:val="00406C38"/>
    <w:rsid w:val="00426143"/>
    <w:rsid w:val="0042637C"/>
    <w:rsid w:val="00432BCE"/>
    <w:rsid w:val="0043451B"/>
    <w:rsid w:val="004374C0"/>
    <w:rsid w:val="00447F9F"/>
    <w:rsid w:val="004605DB"/>
    <w:rsid w:val="00462318"/>
    <w:rsid w:val="00463B92"/>
    <w:rsid w:val="0047750C"/>
    <w:rsid w:val="0048030C"/>
    <w:rsid w:val="00486C35"/>
    <w:rsid w:val="00494E3F"/>
    <w:rsid w:val="0049741E"/>
    <w:rsid w:val="004A4C4C"/>
    <w:rsid w:val="004A5C45"/>
    <w:rsid w:val="004B49F4"/>
    <w:rsid w:val="004C0992"/>
    <w:rsid w:val="004D4BCA"/>
    <w:rsid w:val="004E197E"/>
    <w:rsid w:val="00502D35"/>
    <w:rsid w:val="00537854"/>
    <w:rsid w:val="00541119"/>
    <w:rsid w:val="005451ED"/>
    <w:rsid w:val="00553B00"/>
    <w:rsid w:val="00555CED"/>
    <w:rsid w:val="005663C2"/>
    <w:rsid w:val="00587F7E"/>
    <w:rsid w:val="005A0E4D"/>
    <w:rsid w:val="00613B53"/>
    <w:rsid w:val="00652C13"/>
    <w:rsid w:val="006541BE"/>
    <w:rsid w:val="00666DFE"/>
    <w:rsid w:val="00671B36"/>
    <w:rsid w:val="00693C85"/>
    <w:rsid w:val="006942EE"/>
    <w:rsid w:val="006A2D98"/>
    <w:rsid w:val="006B0F37"/>
    <w:rsid w:val="006B144B"/>
    <w:rsid w:val="006C61CF"/>
    <w:rsid w:val="006D0CF4"/>
    <w:rsid w:val="006E5BD8"/>
    <w:rsid w:val="00706167"/>
    <w:rsid w:val="007250F6"/>
    <w:rsid w:val="00764D69"/>
    <w:rsid w:val="007A4E19"/>
    <w:rsid w:val="007B688A"/>
    <w:rsid w:val="007C088E"/>
    <w:rsid w:val="007D7F3C"/>
    <w:rsid w:val="007E1BA4"/>
    <w:rsid w:val="007E52D4"/>
    <w:rsid w:val="007F46A2"/>
    <w:rsid w:val="007F6817"/>
    <w:rsid w:val="00802824"/>
    <w:rsid w:val="00823A70"/>
    <w:rsid w:val="0082584A"/>
    <w:rsid w:val="0083266F"/>
    <w:rsid w:val="00851756"/>
    <w:rsid w:val="0086439B"/>
    <w:rsid w:val="00874092"/>
    <w:rsid w:val="008906A1"/>
    <w:rsid w:val="008972A0"/>
    <w:rsid w:val="008A0004"/>
    <w:rsid w:val="008A3C27"/>
    <w:rsid w:val="008B7359"/>
    <w:rsid w:val="008E2103"/>
    <w:rsid w:val="008E59B6"/>
    <w:rsid w:val="008F67AA"/>
    <w:rsid w:val="00911EDE"/>
    <w:rsid w:val="009129F9"/>
    <w:rsid w:val="00936601"/>
    <w:rsid w:val="00962DC7"/>
    <w:rsid w:val="009A15A5"/>
    <w:rsid w:val="00A04346"/>
    <w:rsid w:val="00A04EC1"/>
    <w:rsid w:val="00A11F4C"/>
    <w:rsid w:val="00A45498"/>
    <w:rsid w:val="00A471F6"/>
    <w:rsid w:val="00AD32D5"/>
    <w:rsid w:val="00B05762"/>
    <w:rsid w:val="00B07E01"/>
    <w:rsid w:val="00B27EF1"/>
    <w:rsid w:val="00B415A3"/>
    <w:rsid w:val="00B46A1C"/>
    <w:rsid w:val="00B57F2B"/>
    <w:rsid w:val="00B62CFB"/>
    <w:rsid w:val="00B8319A"/>
    <w:rsid w:val="00B8338D"/>
    <w:rsid w:val="00BA0716"/>
    <w:rsid w:val="00BB269D"/>
    <w:rsid w:val="00C05006"/>
    <w:rsid w:val="00C05394"/>
    <w:rsid w:val="00C255D5"/>
    <w:rsid w:val="00C3004E"/>
    <w:rsid w:val="00C307DC"/>
    <w:rsid w:val="00C31331"/>
    <w:rsid w:val="00C370DB"/>
    <w:rsid w:val="00C513C7"/>
    <w:rsid w:val="00C92CD9"/>
    <w:rsid w:val="00C93EB8"/>
    <w:rsid w:val="00CA3D36"/>
    <w:rsid w:val="00CE2307"/>
    <w:rsid w:val="00D0036C"/>
    <w:rsid w:val="00D10190"/>
    <w:rsid w:val="00D33116"/>
    <w:rsid w:val="00D41545"/>
    <w:rsid w:val="00D65AFE"/>
    <w:rsid w:val="00D81814"/>
    <w:rsid w:val="00D81B69"/>
    <w:rsid w:val="00D879BB"/>
    <w:rsid w:val="00D927C8"/>
    <w:rsid w:val="00DC53EB"/>
    <w:rsid w:val="00DC54B0"/>
    <w:rsid w:val="00DF1A09"/>
    <w:rsid w:val="00E01E35"/>
    <w:rsid w:val="00E2617F"/>
    <w:rsid w:val="00E3070A"/>
    <w:rsid w:val="00E33AE4"/>
    <w:rsid w:val="00E469C1"/>
    <w:rsid w:val="00E76B51"/>
    <w:rsid w:val="00E92E7C"/>
    <w:rsid w:val="00EA563E"/>
    <w:rsid w:val="00EB6FE1"/>
    <w:rsid w:val="00ED3961"/>
    <w:rsid w:val="00ED5721"/>
    <w:rsid w:val="00F14A9C"/>
    <w:rsid w:val="00F314B6"/>
    <w:rsid w:val="00F52826"/>
    <w:rsid w:val="00F531C1"/>
    <w:rsid w:val="00FB0B5A"/>
    <w:rsid w:val="00FC0782"/>
    <w:rsid w:val="00FF6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8B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432BCE"/>
  </w:style>
  <w:style w:type="paragraph" w:styleId="Nagwek1">
    <w:name w:val="heading 1"/>
    <w:basedOn w:val="Normalny"/>
    <w:next w:val="Normalny"/>
    <w:link w:val="Nagwek1Znak"/>
    <w:uiPriority w:val="9"/>
    <w:qFormat/>
    <w:rsid w:val="006B0F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B0F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B0F3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B0F3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B0F3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B0F3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B0F3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B0F3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B0F3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0F3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B0F3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B0F3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B0F3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B0F3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B0F3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B0F3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B0F3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B0F37"/>
    <w:rPr>
      <w:rFonts w:eastAsiaTheme="majorEastAsia" w:cstheme="majorBidi"/>
      <w:color w:val="272727" w:themeColor="text1" w:themeTint="D8"/>
    </w:rPr>
  </w:style>
  <w:style w:type="paragraph" w:styleId="Tytu">
    <w:name w:val="Title"/>
    <w:basedOn w:val="Normalny"/>
    <w:next w:val="Normalny"/>
    <w:link w:val="TytuZnak"/>
    <w:uiPriority w:val="10"/>
    <w:qFormat/>
    <w:rsid w:val="006B0F3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B0F3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B0F37"/>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B0F3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B0F37"/>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6B0F37"/>
    <w:rPr>
      <w:i/>
      <w:iCs/>
      <w:color w:val="404040" w:themeColor="text1" w:themeTint="BF"/>
    </w:rPr>
  </w:style>
  <w:style w:type="paragraph" w:styleId="Akapitzlist">
    <w:name w:val="List Paragraph"/>
    <w:aliases w:val="Numerowanie,Akapit z listą BS,List Paragraph,L1,sw tekst,Akapit z listą5,normalny tekst,Kolorowa lista — akcent 11,A_wyliczenie,K-P_odwolanie,maz_wyliczenie,opis dzialania,Signature"/>
    <w:basedOn w:val="Normalny"/>
    <w:link w:val="AkapitzlistZnak"/>
    <w:uiPriority w:val="34"/>
    <w:qFormat/>
    <w:rsid w:val="006B0F37"/>
    <w:pPr>
      <w:ind w:left="720"/>
      <w:contextualSpacing/>
    </w:pPr>
  </w:style>
  <w:style w:type="character" w:styleId="Wyrnienieintensywne">
    <w:name w:val="Intense Emphasis"/>
    <w:basedOn w:val="Domylnaczcionkaakapitu"/>
    <w:uiPriority w:val="21"/>
    <w:qFormat/>
    <w:rsid w:val="006B0F37"/>
    <w:rPr>
      <w:i/>
      <w:iCs/>
      <w:color w:val="2F5496" w:themeColor="accent1" w:themeShade="BF"/>
    </w:rPr>
  </w:style>
  <w:style w:type="paragraph" w:styleId="Cytatintensywny">
    <w:name w:val="Intense Quote"/>
    <w:basedOn w:val="Normalny"/>
    <w:next w:val="Normalny"/>
    <w:link w:val="CytatintensywnyZnak"/>
    <w:uiPriority w:val="30"/>
    <w:qFormat/>
    <w:rsid w:val="006B0F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B0F37"/>
    <w:rPr>
      <w:i/>
      <w:iCs/>
      <w:color w:val="2F5496" w:themeColor="accent1" w:themeShade="BF"/>
    </w:rPr>
  </w:style>
  <w:style w:type="character" w:styleId="Odwoanieintensywne">
    <w:name w:val="Intense Reference"/>
    <w:basedOn w:val="Domylnaczcionkaakapitu"/>
    <w:uiPriority w:val="32"/>
    <w:qFormat/>
    <w:rsid w:val="006B0F37"/>
    <w:rPr>
      <w:b/>
      <w:bCs/>
      <w:smallCaps/>
      <w:color w:val="2F5496" w:themeColor="accent1" w:themeShade="BF"/>
      <w:spacing w:val="5"/>
    </w:rPr>
  </w:style>
  <w:style w:type="table" w:styleId="Tabela-Siatka">
    <w:name w:val="Table Grid"/>
    <w:basedOn w:val="Standardowy"/>
    <w:uiPriority w:val="39"/>
    <w:rsid w:val="006B0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L1 Znak,sw tekst Znak,Akapit z listą5 Znak,normalny tekst Znak,Kolorowa lista — akcent 11 Znak,A_wyliczenie Znak,K-P_odwolanie Znak,maz_wyliczenie Znak,opis dzialania Znak"/>
    <w:link w:val="Akapitzlist"/>
    <w:uiPriority w:val="34"/>
    <w:qFormat/>
    <w:locked/>
    <w:rsid w:val="00B57F2B"/>
  </w:style>
  <w:style w:type="character" w:styleId="Odwoaniedokomentarza">
    <w:name w:val="annotation reference"/>
    <w:basedOn w:val="Domylnaczcionkaakapitu"/>
    <w:uiPriority w:val="99"/>
    <w:unhideWhenUsed/>
    <w:rsid w:val="00B57F2B"/>
    <w:rPr>
      <w:sz w:val="16"/>
      <w:szCs w:val="16"/>
    </w:rPr>
  </w:style>
  <w:style w:type="paragraph" w:styleId="Tekstkomentarza">
    <w:name w:val="annotation text"/>
    <w:basedOn w:val="Normalny"/>
    <w:link w:val="TekstkomentarzaZnak"/>
    <w:uiPriority w:val="99"/>
    <w:unhideWhenUsed/>
    <w:rsid w:val="00B57F2B"/>
    <w:pPr>
      <w:spacing w:after="160"/>
    </w:pPr>
    <w:rPr>
      <w:kern w:val="0"/>
      <w:sz w:val="20"/>
      <w:szCs w:val="20"/>
      <w14:ligatures w14:val="none"/>
    </w:rPr>
  </w:style>
  <w:style w:type="character" w:customStyle="1" w:styleId="TekstkomentarzaZnak">
    <w:name w:val="Tekst komentarza Znak"/>
    <w:basedOn w:val="Domylnaczcionkaakapitu"/>
    <w:link w:val="Tekstkomentarza"/>
    <w:uiPriority w:val="99"/>
    <w:rsid w:val="00B57F2B"/>
    <w:rPr>
      <w:kern w:val="0"/>
      <w:sz w:val="20"/>
      <w:szCs w:val="20"/>
      <w14:ligatures w14:val="none"/>
    </w:rPr>
  </w:style>
  <w:style w:type="character" w:styleId="Hipercze">
    <w:name w:val="Hyperlink"/>
    <w:basedOn w:val="Domylnaczcionkaakapitu"/>
    <w:uiPriority w:val="99"/>
    <w:unhideWhenUsed/>
    <w:rsid w:val="00B57F2B"/>
    <w:rPr>
      <w:color w:val="0563C1" w:themeColor="hyperlink"/>
      <w:u w:val="single"/>
    </w:rPr>
  </w:style>
  <w:style w:type="character" w:styleId="UyteHipercze">
    <w:name w:val="FollowedHyperlink"/>
    <w:basedOn w:val="Domylnaczcionkaakapitu"/>
    <w:uiPriority w:val="99"/>
    <w:semiHidden/>
    <w:unhideWhenUsed/>
    <w:rsid w:val="00B57F2B"/>
    <w:rPr>
      <w:color w:val="954F72" w:themeColor="followedHyperlink"/>
      <w:u w:val="single"/>
    </w:rPr>
  </w:style>
  <w:style w:type="paragraph" w:styleId="Tekstprzypisudolnego">
    <w:name w:val="footnote text"/>
    <w:basedOn w:val="Normalny"/>
    <w:link w:val="TekstprzypisudolnegoZnak"/>
    <w:uiPriority w:val="99"/>
    <w:unhideWhenUsed/>
    <w:rsid w:val="00FC0782"/>
    <w:pPr>
      <w:ind w:left="366" w:hanging="365"/>
      <w:jc w:val="both"/>
    </w:pPr>
    <w:rPr>
      <w:rFonts w:ascii="Century Gothic" w:eastAsia="Century Gothic" w:hAnsi="Century Gothic" w:cs="Century Gothic"/>
      <w:color w:val="000000"/>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rsid w:val="00FC0782"/>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FC0782"/>
    <w:rPr>
      <w:vertAlign w:val="superscript"/>
    </w:rPr>
  </w:style>
  <w:style w:type="numbering" w:customStyle="1" w:styleId="Biecalista1">
    <w:name w:val="Bieżąca lista1"/>
    <w:uiPriority w:val="99"/>
    <w:rsid w:val="00426143"/>
    <w:pPr>
      <w:numPr>
        <w:numId w:val="9"/>
      </w:numPr>
    </w:pPr>
  </w:style>
  <w:style w:type="paragraph" w:styleId="Tekstprzypisukocowego">
    <w:name w:val="endnote text"/>
    <w:basedOn w:val="Normalny"/>
    <w:link w:val="TekstprzypisukocowegoZnak"/>
    <w:uiPriority w:val="99"/>
    <w:unhideWhenUsed/>
    <w:rsid w:val="00426143"/>
    <w:rPr>
      <w:sz w:val="20"/>
      <w:szCs w:val="20"/>
    </w:rPr>
  </w:style>
  <w:style w:type="character" w:customStyle="1" w:styleId="TekstprzypisukocowegoZnak">
    <w:name w:val="Tekst przypisu końcowego Znak"/>
    <w:basedOn w:val="Domylnaczcionkaakapitu"/>
    <w:link w:val="Tekstprzypisukocowego"/>
    <w:uiPriority w:val="99"/>
    <w:rsid w:val="00426143"/>
    <w:rPr>
      <w:sz w:val="20"/>
      <w:szCs w:val="20"/>
    </w:rPr>
  </w:style>
  <w:style w:type="character" w:styleId="Odwoanieprzypisukocowego">
    <w:name w:val="endnote reference"/>
    <w:basedOn w:val="Domylnaczcionkaakapitu"/>
    <w:uiPriority w:val="99"/>
    <w:semiHidden/>
    <w:unhideWhenUsed/>
    <w:rsid w:val="00426143"/>
    <w:rPr>
      <w:vertAlign w:val="superscript"/>
    </w:rPr>
  </w:style>
  <w:style w:type="numbering" w:customStyle="1" w:styleId="Biecalista2">
    <w:name w:val="Bieżąca lista2"/>
    <w:uiPriority w:val="99"/>
    <w:rsid w:val="001E4BD5"/>
    <w:pPr>
      <w:numPr>
        <w:numId w:val="35"/>
      </w:numPr>
    </w:pPr>
  </w:style>
  <w:style w:type="paragraph" w:styleId="Nagwek">
    <w:name w:val="header"/>
    <w:basedOn w:val="Normalny"/>
    <w:link w:val="NagwekZnak"/>
    <w:uiPriority w:val="99"/>
    <w:unhideWhenUsed/>
    <w:rsid w:val="00D0036C"/>
    <w:pPr>
      <w:tabs>
        <w:tab w:val="center" w:pos="4536"/>
        <w:tab w:val="right" w:pos="9072"/>
      </w:tabs>
    </w:pPr>
  </w:style>
  <w:style w:type="character" w:customStyle="1" w:styleId="NagwekZnak">
    <w:name w:val="Nagłówek Znak"/>
    <w:basedOn w:val="Domylnaczcionkaakapitu"/>
    <w:link w:val="Nagwek"/>
    <w:uiPriority w:val="99"/>
    <w:rsid w:val="00D0036C"/>
  </w:style>
  <w:style w:type="paragraph" w:styleId="Stopka">
    <w:name w:val="footer"/>
    <w:basedOn w:val="Normalny"/>
    <w:link w:val="StopkaZnak"/>
    <w:uiPriority w:val="99"/>
    <w:unhideWhenUsed/>
    <w:rsid w:val="00D0036C"/>
    <w:pPr>
      <w:tabs>
        <w:tab w:val="center" w:pos="4536"/>
        <w:tab w:val="right" w:pos="9072"/>
      </w:tabs>
    </w:pPr>
  </w:style>
  <w:style w:type="character" w:customStyle="1" w:styleId="StopkaZnak">
    <w:name w:val="Stopka Znak"/>
    <w:basedOn w:val="Domylnaczcionkaakapitu"/>
    <w:link w:val="Stopka"/>
    <w:uiPriority w:val="99"/>
    <w:rsid w:val="00D0036C"/>
  </w:style>
  <w:style w:type="character" w:styleId="Nierozpoznanawzmianka">
    <w:name w:val="Unresolved Mention"/>
    <w:basedOn w:val="Domylnaczcionkaakapitu"/>
    <w:uiPriority w:val="99"/>
    <w:rsid w:val="00587F7E"/>
    <w:rPr>
      <w:color w:val="605E5C"/>
      <w:shd w:val="clear" w:color="auto" w:fill="E1DFDD"/>
    </w:rPr>
  </w:style>
  <w:style w:type="paragraph" w:customStyle="1" w:styleId="Default">
    <w:name w:val="Default"/>
    <w:rsid w:val="006C61CF"/>
    <w:pPr>
      <w:autoSpaceDE w:val="0"/>
      <w:autoSpaceDN w:val="0"/>
      <w:adjustRightInd w:val="0"/>
    </w:pPr>
    <w:rPr>
      <w:rFonts w:ascii="Arial Nova" w:hAnsi="Arial Nova" w:cs="Arial Nova"/>
      <w:color w:val="000000"/>
      <w:kern w:val="0"/>
    </w:rPr>
  </w:style>
  <w:style w:type="table" w:customStyle="1" w:styleId="TableGrid">
    <w:name w:val="TableGrid"/>
    <w:rsid w:val="00252709"/>
    <w:rPr>
      <w:rFonts w:eastAsiaTheme="minorEastAsia"/>
      <w:sz w:val="22"/>
      <w:szCs w:val="22"/>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26995">
      <w:bodyDiv w:val="1"/>
      <w:marLeft w:val="0"/>
      <w:marRight w:val="0"/>
      <w:marTop w:val="0"/>
      <w:marBottom w:val="0"/>
      <w:divBdr>
        <w:top w:val="none" w:sz="0" w:space="0" w:color="auto"/>
        <w:left w:val="none" w:sz="0" w:space="0" w:color="auto"/>
        <w:bottom w:val="none" w:sz="0" w:space="0" w:color="auto"/>
        <w:right w:val="none" w:sz="0" w:space="0" w:color="auto"/>
      </w:divBdr>
    </w:div>
    <w:div w:id="857617274">
      <w:bodyDiv w:val="1"/>
      <w:marLeft w:val="0"/>
      <w:marRight w:val="0"/>
      <w:marTop w:val="0"/>
      <w:marBottom w:val="0"/>
      <w:divBdr>
        <w:top w:val="none" w:sz="0" w:space="0" w:color="auto"/>
        <w:left w:val="none" w:sz="0" w:space="0" w:color="auto"/>
        <w:bottom w:val="none" w:sz="0" w:space="0" w:color="auto"/>
        <w:right w:val="none" w:sz="0" w:space="0" w:color="auto"/>
      </w:divBdr>
    </w:div>
    <w:div w:id="1070543575">
      <w:bodyDiv w:val="1"/>
      <w:marLeft w:val="0"/>
      <w:marRight w:val="0"/>
      <w:marTop w:val="0"/>
      <w:marBottom w:val="0"/>
      <w:divBdr>
        <w:top w:val="none" w:sz="0" w:space="0" w:color="auto"/>
        <w:left w:val="none" w:sz="0" w:space="0" w:color="auto"/>
        <w:bottom w:val="none" w:sz="0" w:space="0" w:color="auto"/>
        <w:right w:val="none" w:sz="0" w:space="0" w:color="auto"/>
      </w:divBdr>
    </w:div>
    <w:div w:id="1274943768">
      <w:bodyDiv w:val="1"/>
      <w:marLeft w:val="0"/>
      <w:marRight w:val="0"/>
      <w:marTop w:val="0"/>
      <w:marBottom w:val="0"/>
      <w:divBdr>
        <w:top w:val="none" w:sz="0" w:space="0" w:color="auto"/>
        <w:left w:val="none" w:sz="0" w:space="0" w:color="auto"/>
        <w:bottom w:val="none" w:sz="0" w:space="0" w:color="auto"/>
        <w:right w:val="none" w:sz="0" w:space="0" w:color="auto"/>
      </w:divBdr>
    </w:div>
    <w:div w:id="1575624495">
      <w:bodyDiv w:val="1"/>
      <w:marLeft w:val="0"/>
      <w:marRight w:val="0"/>
      <w:marTop w:val="0"/>
      <w:marBottom w:val="0"/>
      <w:divBdr>
        <w:top w:val="none" w:sz="0" w:space="0" w:color="auto"/>
        <w:left w:val="none" w:sz="0" w:space="0" w:color="auto"/>
        <w:bottom w:val="none" w:sz="0" w:space="0" w:color="auto"/>
        <w:right w:val="none" w:sz="0" w:space="0" w:color="auto"/>
      </w:divBdr>
    </w:div>
    <w:div w:id="1637221350">
      <w:bodyDiv w:val="1"/>
      <w:marLeft w:val="0"/>
      <w:marRight w:val="0"/>
      <w:marTop w:val="0"/>
      <w:marBottom w:val="0"/>
      <w:divBdr>
        <w:top w:val="none" w:sz="0" w:space="0" w:color="auto"/>
        <w:left w:val="none" w:sz="0" w:space="0" w:color="auto"/>
        <w:bottom w:val="none" w:sz="0" w:space="0" w:color="auto"/>
        <w:right w:val="none" w:sz="0" w:space="0" w:color="auto"/>
      </w:divBdr>
    </w:div>
    <w:div w:id="1759867471">
      <w:bodyDiv w:val="1"/>
      <w:marLeft w:val="0"/>
      <w:marRight w:val="0"/>
      <w:marTop w:val="0"/>
      <w:marBottom w:val="0"/>
      <w:divBdr>
        <w:top w:val="none" w:sz="0" w:space="0" w:color="auto"/>
        <w:left w:val="none" w:sz="0" w:space="0" w:color="auto"/>
        <w:bottom w:val="none" w:sz="0" w:space="0" w:color="auto"/>
        <w:right w:val="none" w:sz="0" w:space="0" w:color="auto"/>
      </w:divBdr>
    </w:div>
    <w:div w:id="198011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F39BA-198B-42A9-B7CC-83CF2B3B0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1845</Words>
  <Characters>11076</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2024-05-03T00:10:00Z</dcterms:created>
  <dcterms:modified xsi:type="dcterms:W3CDTF">2024-08-07T22:20:00Z</dcterms:modified>
</cp:coreProperties>
</file>