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B8F9" w14:textId="77777777" w:rsidR="00E21383" w:rsidRPr="00E21383" w:rsidRDefault="00E21383" w:rsidP="00E21383">
      <w:pPr>
        <w:spacing w:after="60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inline distT="0" distB="0" distL="0" distR="0" wp14:anchorId="1A307A8B" wp14:editId="50D9E762">
            <wp:extent cx="561975" cy="744434"/>
            <wp:effectExtent l="0" t="0" r="0" b="0"/>
            <wp:docPr id="2" name="Obraz 2" descr="LOGO_U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4" cy="75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F15E" w14:textId="77777777" w:rsidR="00E21383" w:rsidRPr="00E21383" w:rsidRDefault="00E21383" w:rsidP="00E21383">
      <w:pPr>
        <w:spacing w:after="60"/>
        <w:ind w:right="142"/>
        <w:rPr>
          <w:rFonts w:ascii="Century Gothic" w:hAnsi="Century Gothic" w:cs="Arial"/>
          <w:b/>
          <w:sz w:val="18"/>
          <w:szCs w:val="18"/>
        </w:rPr>
      </w:pPr>
      <w:r w:rsidRPr="00E2138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          </w:t>
      </w:r>
      <w:r w:rsidRPr="00E21383">
        <w:rPr>
          <w:rFonts w:ascii="Century Gothic" w:hAnsi="Century Gothic" w:cs="Arial"/>
          <w:b/>
          <w:sz w:val="18"/>
          <w:szCs w:val="18"/>
        </w:rPr>
        <w:t>UNIWERSYTECKIE CENTRUM STOMATOLOGICZNE</w:t>
      </w:r>
    </w:p>
    <w:p w14:paraId="6EE84C82" w14:textId="77777777" w:rsidR="00E21383" w:rsidRPr="00E21383" w:rsidRDefault="00E21383" w:rsidP="00E21383">
      <w:pPr>
        <w:spacing w:after="60"/>
        <w:ind w:right="142"/>
        <w:rPr>
          <w:rFonts w:ascii="Century Gothic" w:hAnsi="Century Gothic" w:cs="Arial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Gdańskiego Uniwersytetu Medycznego Sp. z o.o.</w:t>
      </w:r>
    </w:p>
    <w:p w14:paraId="60CBFB41" w14:textId="77777777" w:rsidR="00E21383" w:rsidRPr="00E21383" w:rsidRDefault="00E21383" w:rsidP="00E21383">
      <w:pPr>
        <w:spacing w:after="60"/>
        <w:rPr>
          <w:rFonts w:ascii="Century Gothic" w:hAnsi="Century Gothic" w:cs="Times New Roman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Dębowa 1a, 80-204 Gdańsk</w:t>
      </w:r>
    </w:p>
    <w:p w14:paraId="0C72D956" w14:textId="77777777" w:rsidR="00E21383" w:rsidRDefault="00E21383" w:rsidP="00E21383">
      <w:pPr>
        <w:ind w:right="142"/>
        <w:jc w:val="center"/>
        <w:rPr>
          <w:rFonts w:ascii="Century Gothic" w:hAnsi="Century Gothic" w:cs="Arial"/>
          <w:sz w:val="20"/>
          <w:szCs w:val="20"/>
        </w:rPr>
      </w:pPr>
    </w:p>
    <w:p w14:paraId="2D088139" w14:textId="77777777" w:rsidR="00E21383" w:rsidRDefault="00E21383" w:rsidP="00E21383">
      <w:pPr>
        <w:tabs>
          <w:tab w:val="left" w:pos="2400"/>
        </w:tabs>
        <w:ind w:right="142"/>
        <w:rPr>
          <w:rFonts w:ascii="Century Gothic" w:hAnsi="Century Gothic" w:cs="Arial"/>
          <w:b/>
        </w:rPr>
      </w:pPr>
    </w:p>
    <w:p w14:paraId="3A523E66" w14:textId="77777777" w:rsidR="00E21383" w:rsidRPr="00E21383" w:rsidRDefault="00E21383" w:rsidP="00E21383">
      <w:pPr>
        <w:ind w:right="142"/>
        <w:jc w:val="both"/>
        <w:rPr>
          <w:rFonts w:ascii="Century Gothic" w:hAnsi="Century Gothic" w:cs="Arial"/>
          <w:b/>
        </w:rPr>
      </w:pPr>
    </w:p>
    <w:p w14:paraId="0030AEF8" w14:textId="77777777" w:rsidR="00E21383" w:rsidRPr="00E21383" w:rsidRDefault="00E21383" w:rsidP="00E21383">
      <w:pPr>
        <w:ind w:right="142"/>
        <w:jc w:val="both"/>
        <w:rPr>
          <w:rFonts w:ascii="Century Gothic" w:hAnsi="Century Gothic" w:cs="Arial"/>
          <w:b/>
        </w:rPr>
      </w:pPr>
    </w:p>
    <w:p w14:paraId="66B50063" w14:textId="1341F5A3" w:rsidR="00E21383" w:rsidRPr="00E21383" w:rsidRDefault="007D279F" w:rsidP="00E21383">
      <w:pPr>
        <w:spacing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</w:t>
      </w:r>
      <w:r w:rsidR="00E21383" w:rsidRPr="00BB36D4">
        <w:rPr>
          <w:rFonts w:ascii="Century Gothic" w:hAnsi="Century Gothic" w:cs="Calibri"/>
        </w:rPr>
        <w:t>/202</w:t>
      </w:r>
      <w:r>
        <w:rPr>
          <w:rFonts w:ascii="Century Gothic" w:hAnsi="Century Gothic" w:cs="Calibri"/>
        </w:rPr>
        <w:t>2</w:t>
      </w:r>
      <w:r w:rsidR="00E21383" w:rsidRPr="00BB36D4">
        <w:rPr>
          <w:rFonts w:ascii="Century Gothic" w:hAnsi="Century Gothic" w:cs="Calibri"/>
        </w:rPr>
        <w:t xml:space="preserve">/sprzątanie                                                             Gdańsk, dnia </w:t>
      </w:r>
      <w:r>
        <w:rPr>
          <w:rFonts w:ascii="Century Gothic" w:hAnsi="Century Gothic" w:cs="Calibri"/>
        </w:rPr>
        <w:t>2</w:t>
      </w:r>
      <w:r w:rsidR="00745FA6">
        <w:rPr>
          <w:rFonts w:ascii="Century Gothic" w:hAnsi="Century Gothic" w:cs="Calibri"/>
        </w:rPr>
        <w:t>5</w:t>
      </w:r>
      <w:r w:rsidR="00E21383" w:rsidRPr="00BB36D4">
        <w:rPr>
          <w:rFonts w:ascii="Century Gothic" w:hAnsi="Century Gothic" w:cs="Calibri"/>
        </w:rPr>
        <w:t>.02.2021.</w:t>
      </w:r>
    </w:p>
    <w:p w14:paraId="48DCBAD2" w14:textId="77777777" w:rsidR="00E21383" w:rsidRPr="00E21383" w:rsidRDefault="00E21383" w:rsidP="00E213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</w:p>
    <w:p w14:paraId="56F7DEE2" w14:textId="77777777" w:rsidR="00E21383" w:rsidRPr="00E21383" w:rsidRDefault="00E21383" w:rsidP="00E213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</w:p>
    <w:p w14:paraId="7E2E60B6" w14:textId="77777777" w:rsidR="00E21383" w:rsidRPr="00E21383" w:rsidRDefault="00E21383" w:rsidP="00E213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  <w:b/>
        </w:rPr>
      </w:pPr>
      <w:r w:rsidRPr="00E21383">
        <w:rPr>
          <w:rFonts w:ascii="Century Gothic" w:hAnsi="Century Gothic" w:cs="Calibri"/>
          <w:b/>
        </w:rPr>
        <w:t>Do uczestników postępowania</w:t>
      </w:r>
    </w:p>
    <w:p w14:paraId="54411370" w14:textId="77777777" w:rsidR="00E21383" w:rsidRPr="00E21383" w:rsidRDefault="00E21383" w:rsidP="00E21383">
      <w:pPr>
        <w:pStyle w:val="Default"/>
        <w:jc w:val="both"/>
        <w:rPr>
          <w:rFonts w:ascii="Century Gothic" w:hAnsi="Century Gothic"/>
          <w:i/>
          <w:sz w:val="22"/>
          <w:szCs w:val="22"/>
        </w:rPr>
      </w:pPr>
    </w:p>
    <w:p w14:paraId="7E2081FE" w14:textId="63AC316D" w:rsidR="001E63A6" w:rsidRPr="005D388A" w:rsidRDefault="007600B2" w:rsidP="0090780D">
      <w:pPr>
        <w:pStyle w:val="Default"/>
        <w:spacing w:line="288" w:lineRule="auto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Dotyczy p</w:t>
      </w:r>
      <w:r w:rsidR="001E63A6" w:rsidRPr="00E21383">
        <w:rPr>
          <w:rFonts w:ascii="Century Gothic" w:hAnsi="Century Gothic"/>
          <w:iCs/>
          <w:sz w:val="22"/>
          <w:szCs w:val="22"/>
        </w:rPr>
        <w:t xml:space="preserve">ostępowania o udzielenie zamówienia publicznego </w:t>
      </w:r>
      <w:r w:rsidR="00E21383">
        <w:rPr>
          <w:rFonts w:ascii="Century Gothic" w:hAnsi="Century Gothic"/>
          <w:iCs/>
          <w:sz w:val="22"/>
          <w:szCs w:val="22"/>
        </w:rPr>
        <w:t>na św</w:t>
      </w:r>
      <w:r w:rsidR="001E63A6" w:rsidRPr="00E21383">
        <w:rPr>
          <w:rFonts w:ascii="Century Gothic" w:hAnsi="Century Gothic"/>
          <w:iCs/>
          <w:sz w:val="22"/>
          <w:szCs w:val="22"/>
        </w:rPr>
        <w:t>iadczenie usług sprzątania pomieszczeń w obiektach Uniwersyteckiego Centrum Stomatologicznego GUMed</w:t>
      </w:r>
      <w:r>
        <w:rPr>
          <w:rFonts w:ascii="Century Gothic" w:hAnsi="Century Gothic"/>
          <w:iCs/>
          <w:sz w:val="22"/>
          <w:szCs w:val="22"/>
        </w:rPr>
        <w:t>.</w:t>
      </w:r>
      <w:r w:rsidR="001E63A6" w:rsidRPr="00E21383">
        <w:rPr>
          <w:rFonts w:ascii="Century Gothic" w:hAnsi="Century Gothic"/>
          <w:iCs/>
          <w:sz w:val="22"/>
          <w:szCs w:val="22"/>
        </w:rPr>
        <w:t xml:space="preserve"> </w:t>
      </w:r>
    </w:p>
    <w:p w14:paraId="4027E4DC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35E5823D" w14:textId="3D197A6A" w:rsidR="001E63A6" w:rsidRPr="005D388A" w:rsidRDefault="00E21383" w:rsidP="005D388A">
      <w:pPr>
        <w:spacing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Uniwersyteckie Centrum Stomatologiczne</w:t>
      </w:r>
      <w:r w:rsidRPr="00E21383">
        <w:rPr>
          <w:rFonts w:ascii="Century Gothic" w:hAnsi="Century Gothic" w:cs="Calibri"/>
        </w:rPr>
        <w:t>, jako Zamawiający zawiadamia, iż na zgłoszone pisemnie pytania udziela odpowiedzi w oparciu o art. 284 ust. 2 ustawy z dnia 11 września 2019r. Prawo zamówień publicznych jak niżej:</w:t>
      </w:r>
    </w:p>
    <w:p w14:paraId="1E1B9317" w14:textId="74614F10" w:rsidR="00242E94" w:rsidRPr="005D388A" w:rsidRDefault="00E21383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/>
          <w:b/>
        </w:rPr>
        <w:t xml:space="preserve">Pytanie </w:t>
      </w:r>
      <w:r w:rsidR="001E63A6" w:rsidRPr="005D388A">
        <w:rPr>
          <w:rFonts w:ascii="Century Gothic" w:hAnsi="Century Gothic"/>
          <w:b/>
        </w:rPr>
        <w:t>1.</w:t>
      </w:r>
      <w:r w:rsidR="001E63A6" w:rsidRPr="005D388A">
        <w:rPr>
          <w:rFonts w:ascii="Century Gothic" w:hAnsi="Century Gothic"/>
        </w:rPr>
        <w:t xml:space="preserve"> </w:t>
      </w:r>
      <w:r w:rsidR="00242E94" w:rsidRPr="005D388A">
        <w:rPr>
          <w:rFonts w:ascii="Century Gothic" w:hAnsi="Century Gothic" w:cs="Calibri"/>
        </w:rPr>
        <w:t>Wnosimy o wyrażenie zgody na zatrudnienie pracowników na umowę zlecenie wyłącznie</w:t>
      </w:r>
      <w:r w:rsidR="005D388A">
        <w:rPr>
          <w:rFonts w:ascii="Century Gothic" w:hAnsi="Century Gothic" w:cs="Calibri"/>
        </w:rPr>
        <w:t xml:space="preserve"> </w:t>
      </w:r>
      <w:r w:rsidR="00242E94" w:rsidRPr="005D388A">
        <w:rPr>
          <w:rFonts w:ascii="Century Gothic" w:hAnsi="Century Gothic" w:cs="Calibri"/>
        </w:rPr>
        <w:t>w przypadku nagłych i niespodziewanych nieobecności, pracownika zatrudnionego na umowę</w:t>
      </w:r>
      <w:r w:rsidR="005D388A">
        <w:rPr>
          <w:rFonts w:ascii="Century Gothic" w:hAnsi="Century Gothic" w:cs="Calibri"/>
        </w:rPr>
        <w:t xml:space="preserve"> </w:t>
      </w:r>
      <w:r w:rsidR="00242E94" w:rsidRPr="005D388A">
        <w:rPr>
          <w:rFonts w:ascii="Century Gothic" w:hAnsi="Century Gothic" w:cs="Calibri"/>
        </w:rPr>
        <w:t>o pracę, wynikających z przyczyn losowych (m.in. zwolnienia lekarskie, porodu, urlopu na żądanie).</w:t>
      </w:r>
    </w:p>
    <w:p w14:paraId="5132A567" w14:textId="0AFCEEB1" w:rsidR="00242E94" w:rsidRPr="0080431B" w:rsidRDefault="00242E94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Konieczność zachowania wymogu zatrudnienia wyłącznie na umowę o pracę w sytuacjach losowych,</w:t>
      </w:r>
      <w:r w:rsidR="005D388A"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zdarzeniach niemożliwych do przewidzenia jest nierealne. Wykonawca nie jest w stanie przewidzieć</w:t>
      </w:r>
      <w:r w:rsidR="005D388A"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 xml:space="preserve">ile osób będzie w danym okresie czasu np. na zwolnieniu lekarskim. Zatrudnienie na umowę o </w:t>
      </w:r>
      <w:r w:rsidRPr="0080431B">
        <w:rPr>
          <w:rFonts w:ascii="Century Gothic" w:hAnsi="Century Gothic" w:cs="Calibri"/>
        </w:rPr>
        <w:t>pracę</w:t>
      </w:r>
      <w:r w:rsidR="005D388A" w:rsidRPr="0080431B">
        <w:rPr>
          <w:rFonts w:ascii="Century Gothic" w:hAnsi="Century Gothic" w:cs="Calibri"/>
        </w:rPr>
        <w:t xml:space="preserve"> </w:t>
      </w:r>
      <w:r w:rsidRPr="0080431B">
        <w:rPr>
          <w:rFonts w:ascii="Century Gothic" w:hAnsi="Century Gothic" w:cs="Calibri"/>
        </w:rPr>
        <w:t>poprzedzane jest spełnieniem szeregu wymagań m. in. wykonaniem i dostarczenia badań lekarskich</w:t>
      </w:r>
    </w:p>
    <w:p w14:paraId="1BA66F22" w14:textId="38867E77" w:rsidR="005D388A" w:rsidRPr="0080431B" w:rsidRDefault="00242E94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80431B">
        <w:rPr>
          <w:rFonts w:ascii="Century Gothic" w:hAnsi="Century Gothic" w:cs="Calibri"/>
        </w:rPr>
        <w:t>z zakresu medycyny pracy, czy szkoleń BHP, co w sytuacjach nagłych jest nierealne i wymaga</w:t>
      </w:r>
      <w:r w:rsidR="005D388A" w:rsidRPr="0080431B">
        <w:rPr>
          <w:rFonts w:ascii="Century Gothic" w:hAnsi="Century Gothic" w:cs="Calibri"/>
        </w:rPr>
        <w:t xml:space="preserve"> </w:t>
      </w:r>
      <w:r w:rsidRPr="0080431B">
        <w:rPr>
          <w:rFonts w:ascii="Century Gothic" w:hAnsi="Century Gothic" w:cs="Calibri"/>
        </w:rPr>
        <w:t>dodatkowego czasu. W związku z powyższym wnosimy jak na wstępie.</w:t>
      </w:r>
    </w:p>
    <w:p w14:paraId="5AD3CE01" w14:textId="3E69D7FA" w:rsidR="0080431B" w:rsidRPr="0080431B" w:rsidRDefault="005016E0" w:rsidP="0080431B">
      <w:pPr>
        <w:pStyle w:val="Akapitzlist"/>
        <w:ind w:left="0"/>
        <w:jc w:val="both"/>
        <w:rPr>
          <w:rFonts w:ascii="Century Gothic" w:hAnsi="Century Gothic" w:cs="Arial"/>
        </w:rPr>
      </w:pPr>
      <w:r w:rsidRPr="0080431B">
        <w:rPr>
          <w:rFonts w:ascii="Century Gothic" w:hAnsi="Century Gothic"/>
          <w:b/>
          <w:bCs/>
        </w:rPr>
        <w:t>Odpowiedź:</w:t>
      </w:r>
      <w:r w:rsidR="004D73FF" w:rsidRPr="0080431B">
        <w:rPr>
          <w:rFonts w:ascii="Century Gothic" w:hAnsi="Century Gothic"/>
        </w:rPr>
        <w:t xml:space="preserve"> </w:t>
      </w:r>
      <w:r w:rsidR="005D388A" w:rsidRPr="0080431B">
        <w:rPr>
          <w:rFonts w:ascii="Century Gothic" w:hAnsi="Century Gothic"/>
        </w:rPr>
        <w:t>Zamawiający</w:t>
      </w:r>
      <w:r w:rsidR="0080431B" w:rsidRPr="0080431B">
        <w:rPr>
          <w:rFonts w:ascii="Century Gothic" w:hAnsi="Century Gothic" w:cs="Arial"/>
        </w:rPr>
        <w:t xml:space="preserve"> </w:t>
      </w:r>
      <w:r w:rsidR="0080431B" w:rsidRPr="0080431B">
        <w:rPr>
          <w:rFonts w:ascii="Century Gothic" w:hAnsi="Century Gothic" w:cs="Arial"/>
        </w:rPr>
        <w:t xml:space="preserve">nie wyraża zgody na zatrudnienie na umowę zlecenie. </w:t>
      </w:r>
    </w:p>
    <w:p w14:paraId="497E1D29" w14:textId="47FB83EB" w:rsidR="001E63A6" w:rsidRPr="005D388A" w:rsidRDefault="001E63A6" w:rsidP="005D388A">
      <w:pPr>
        <w:pStyle w:val="Default"/>
        <w:spacing w:after="169"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14C7C0E3" w14:textId="330FF6BA" w:rsidR="005D388A" w:rsidRPr="005D388A" w:rsidRDefault="00E21383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/>
          <w:b/>
        </w:rPr>
        <w:t xml:space="preserve">Pytanie </w:t>
      </w:r>
      <w:r w:rsidR="001E63A6" w:rsidRPr="005D388A">
        <w:rPr>
          <w:rFonts w:ascii="Century Gothic" w:hAnsi="Century Gothic"/>
          <w:b/>
        </w:rPr>
        <w:t>2.</w:t>
      </w:r>
      <w:r w:rsidR="001E63A6" w:rsidRPr="005D388A">
        <w:rPr>
          <w:rFonts w:ascii="Century Gothic" w:hAnsi="Century Gothic"/>
        </w:rPr>
        <w:t xml:space="preserve"> </w:t>
      </w:r>
      <w:r w:rsidR="005D388A" w:rsidRPr="005D388A">
        <w:rPr>
          <w:rFonts w:ascii="Century Gothic" w:hAnsi="Century Gothic" w:cs="Calibri"/>
        </w:rPr>
        <w:t>Z treści art.462 ust. 2 regulującego wprowadzanie podwykonawców wynika, iż obowiązek wskazania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nazw podwykonawców dotyczy jedynie podwykonawców znanych na etapie składania oferty.</w:t>
      </w:r>
    </w:p>
    <w:p w14:paraId="1AAE9175" w14:textId="21DDD740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Na etapie składania ofert Wykonawca nie zawsze jest w stanie podać dokładnych danych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podwykonawcy z którego usług będzie korzystał. Dopiero w trakcie realizacji zamówienia na potrzeby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 xml:space="preserve">należytego wykonania usługi Wykonawca może skorzystać </w:t>
      </w:r>
      <w:r w:rsidRPr="005D388A">
        <w:rPr>
          <w:rFonts w:ascii="Century Gothic" w:hAnsi="Century Gothic" w:cs="Calibri"/>
        </w:rPr>
        <w:lastRenderedPageBreak/>
        <w:t>z usług podwykonawcy, a co za tym idzie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przekazać Zamawiającemu wymagane dane i informacje o podwykonawcy. W związku z powyższym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prosimy o potwierdzenie czy Wykonawca dobrze rozumie, że obowiązek wskazania nazw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podwykonawców dotyczy jedynie tych, znanych na etapie składania oferty, którzy w szczególności</w:t>
      </w:r>
    </w:p>
    <w:p w14:paraId="6EC8B90A" w14:textId="0E0BA9DC" w:rsidR="005D388A" w:rsidRPr="005F57FC" w:rsidRDefault="005D388A" w:rsidP="005F57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5D388A">
        <w:rPr>
          <w:rFonts w:ascii="Century Gothic" w:hAnsi="Century Gothic" w:cs="Calibri"/>
        </w:rPr>
        <w:t>udostępniają swoje zasoby lub których wykonawca będzie chciał uwzględnić w wyjaśnieniach niskiej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ceny.</w:t>
      </w:r>
    </w:p>
    <w:p w14:paraId="50A5C0B1" w14:textId="67F3C063" w:rsidR="005F57FC" w:rsidRPr="005D1593" w:rsidRDefault="005016E0" w:rsidP="005F57FC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5F57FC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5F57FC">
        <w:rPr>
          <w:rFonts w:ascii="Century Gothic" w:hAnsi="Century Gothic"/>
          <w:color w:val="auto"/>
          <w:sz w:val="22"/>
          <w:szCs w:val="22"/>
        </w:rPr>
        <w:t xml:space="preserve"> </w:t>
      </w:r>
      <w:r w:rsidR="005F57FC">
        <w:rPr>
          <w:rFonts w:ascii="Century Gothic" w:hAnsi="Century Gothic" w:cs="Arial"/>
          <w:sz w:val="22"/>
          <w:szCs w:val="22"/>
        </w:rPr>
        <w:t>Zamawiający potwierdza, że</w:t>
      </w:r>
      <w:r w:rsidR="0080431B" w:rsidRPr="0080431B">
        <w:rPr>
          <w:rFonts w:ascii="Century Gothic" w:hAnsi="Century Gothic" w:cs="Arial"/>
          <w:sz w:val="22"/>
          <w:szCs w:val="22"/>
        </w:rPr>
        <w:t xml:space="preserve"> obowiązek wskazania nazw podwykonawców dotyczy, jedynie tych, którzy są znani na etapie składania oferty. </w:t>
      </w:r>
      <w:r w:rsidR="005F57FC" w:rsidRPr="005D1593">
        <w:rPr>
          <w:rFonts w:ascii="Century Gothic" w:hAnsi="Century Gothic" w:cs="Arial"/>
          <w:sz w:val="22"/>
          <w:szCs w:val="22"/>
        </w:rPr>
        <w:t>Z</w:t>
      </w:r>
      <w:r w:rsidR="0080431B" w:rsidRPr="0080431B">
        <w:rPr>
          <w:rFonts w:ascii="Century Gothic" w:hAnsi="Century Gothic" w:cs="Arial"/>
          <w:sz w:val="22"/>
          <w:szCs w:val="22"/>
        </w:rPr>
        <w:t>amawiający wymaga, aby w przypadku powierzenia części zamówienia podwykonawcom, Wykonawca wskazał w ofercie części zamówienia, których wykonanie zamierza powierzyć podwykonawcom oraz podał (o ile są mu wiadome na tym etapie) na</w:t>
      </w:r>
      <w:r w:rsidR="005F57FC" w:rsidRPr="005D1593">
        <w:rPr>
          <w:rFonts w:ascii="Century Gothic" w:hAnsi="Century Gothic" w:cs="Arial"/>
          <w:sz w:val="22"/>
          <w:szCs w:val="22"/>
        </w:rPr>
        <w:t>zwy (firmy) tych podwykonawców.</w:t>
      </w:r>
      <w:r w:rsidR="0080431B" w:rsidRPr="0080431B">
        <w:rPr>
          <w:rFonts w:ascii="Century Gothic" w:hAnsi="Century Gothic" w:cs="Arial"/>
          <w:sz w:val="22"/>
          <w:szCs w:val="22"/>
        </w:rPr>
        <w:t xml:space="preserve"> Zapis ten dotyczy podwykonawców niebędących podmiotem udostępniającym zasoby. </w:t>
      </w:r>
    </w:p>
    <w:p w14:paraId="7920934F" w14:textId="49C49CA7" w:rsidR="00724371" w:rsidRPr="005D1593" w:rsidRDefault="005D1593" w:rsidP="005F57FC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5D1593">
        <w:rPr>
          <w:rFonts w:ascii="Century Gothic" w:hAnsi="Century Gothic"/>
          <w:sz w:val="22"/>
          <w:szCs w:val="22"/>
        </w:rPr>
        <w:t>Wykonawca może w celu potwierdzenia spełnienia warunków udziału w postępowaniu, polegać na zdolnościach technicznych lub zawodowych lub sytuacji ekonomicznej lub finansowej podmiotów,  udost</w:t>
      </w:r>
      <w:r w:rsidRPr="005D1593">
        <w:rPr>
          <w:rFonts w:ascii="Century Gothic" w:hAnsi="Century Gothic"/>
          <w:sz w:val="22"/>
          <w:szCs w:val="22"/>
        </w:rPr>
        <w:t>ę</w:t>
      </w:r>
      <w:r w:rsidRPr="005D1593">
        <w:rPr>
          <w:rFonts w:ascii="Century Gothic" w:hAnsi="Century Gothic"/>
          <w:sz w:val="22"/>
          <w:szCs w:val="22"/>
        </w:rPr>
        <w:t>pniających zasoby, niezależnie od charakteru prawnego łączących go z nim stosunków prawnych.</w:t>
      </w:r>
      <w:r w:rsidRPr="005D1593">
        <w:rPr>
          <w:rFonts w:ascii="Century Gothic" w:hAnsi="Century Gothic" w:cs="Arial"/>
          <w:sz w:val="22"/>
          <w:szCs w:val="22"/>
        </w:rPr>
        <w:t xml:space="preserve"> </w:t>
      </w:r>
      <w:r w:rsidR="0080431B" w:rsidRPr="005D1593">
        <w:rPr>
          <w:rFonts w:ascii="Century Gothic" w:hAnsi="Century Gothic" w:cs="Arial"/>
          <w:color w:val="auto"/>
          <w:sz w:val="22"/>
          <w:szCs w:val="22"/>
        </w:rPr>
        <w:t>W tym przypadku Wykonawca stosuje się do zapisów rozdziału X</w:t>
      </w:r>
      <w:r w:rsidR="005F57FC" w:rsidRPr="005D1593">
        <w:rPr>
          <w:rFonts w:ascii="Century Gothic" w:hAnsi="Century Gothic" w:cs="Arial"/>
          <w:color w:val="auto"/>
          <w:sz w:val="22"/>
          <w:szCs w:val="22"/>
        </w:rPr>
        <w:t>X</w:t>
      </w:r>
      <w:r w:rsidR="0080431B" w:rsidRPr="005D1593">
        <w:rPr>
          <w:rFonts w:ascii="Century Gothic" w:hAnsi="Century Gothic" w:cs="Arial"/>
          <w:color w:val="auto"/>
          <w:sz w:val="22"/>
          <w:szCs w:val="22"/>
        </w:rPr>
        <w:t>I SWZ.</w:t>
      </w:r>
    </w:p>
    <w:p w14:paraId="71C044B8" w14:textId="77777777" w:rsidR="001E63A6" w:rsidRPr="005D388A" w:rsidRDefault="001E63A6" w:rsidP="005D388A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3D6CA77C" w14:textId="62CFAD7B" w:rsidR="005D388A" w:rsidRPr="005D388A" w:rsidRDefault="00E21383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/>
          <w:b/>
        </w:rPr>
        <w:t xml:space="preserve">Pytanie </w:t>
      </w:r>
      <w:r w:rsidR="001E63A6" w:rsidRPr="005D388A">
        <w:rPr>
          <w:rFonts w:ascii="Century Gothic" w:hAnsi="Century Gothic"/>
          <w:b/>
        </w:rPr>
        <w:t>3.</w:t>
      </w:r>
      <w:r w:rsidR="00BB36D4" w:rsidRPr="005D388A">
        <w:rPr>
          <w:rFonts w:ascii="Century Gothic" w:hAnsi="Century Gothic"/>
        </w:rPr>
        <w:t xml:space="preserve"> </w:t>
      </w:r>
      <w:r w:rsidR="005D388A" w:rsidRPr="005D388A">
        <w:rPr>
          <w:rFonts w:ascii="Century Gothic" w:hAnsi="Century Gothic" w:cs="Calibri"/>
        </w:rPr>
        <w:t>Wnosimy o dodanie do treści SWZ badania podstawy wykluczenia Wykonawcy określonej w art. 109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ust. 1 pkt 5) i 7) ustawy z dn. 11.09.2019 roku Prawo zamówień publicznych (Dz.U. z 2019 poz. 2019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ze zm.).</w:t>
      </w:r>
    </w:p>
    <w:p w14:paraId="6C5C1034" w14:textId="4551F3B8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Uzasadnienie: Z naszych dotychczasowych analiz wynika, że w postępowaniach, w których nie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przewidziano ww. fakultatywnych podstaw wykluczenia oferty składają podmioty, którym w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ostatnich trzech latach wypowiedziano umowy o zamówienia publiczne z przyczyn leżącej po stronie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Wykonawcy.</w:t>
      </w:r>
    </w:p>
    <w:p w14:paraId="4BADE9AC" w14:textId="0888DBD5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Zgodnie z Dyrektywą Parlamentu Europejskiego i Rady 2014/24/UE z 26.02.2014 r. w sprawie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zamówień publicznych, uchylającej dyrektywę 2004/18/WE (dalej: „dyrektywa”) w art. 57 ust. 4 lit. c i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g dyrektywy przewidziano: Instytucje zamawiające mogą wykluczyć lub zostać zobowiązane przez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państwa członkowskie do wykluczenia z udziału w postępowaniu o udzielenie zamówienia każdego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wykonawcy znajdującego się w którejkolwiek z poniższych sytuacji: (…) c) jeżeli instytucja</w:t>
      </w:r>
    </w:p>
    <w:p w14:paraId="3348E404" w14:textId="55C6051C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zamawiająca może wykazać za pomocą stosownych środków, że wykonawca jest winny poważnego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wykroczenia zawodowego, które podaje w wątpliwość jego uczciwość; (…) g) jeżeli wykonawca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wykazywał znaczące lub uporczywe niedociągnięcia w spełnieniu istotnego wymogu w ramach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wcześniejszej umowy w sprawie zamówienia publicznego, wcześniejszej umowy z podmiotem</w:t>
      </w:r>
    </w:p>
    <w:p w14:paraId="2DB7C5CB" w14:textId="6DF81113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zamawiającym lub wcześniejszą umową w sprawie koncesji, które doprowadziły do wcześniejszego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rozwiązania tej wcześniejszej umowy, odszkodowań lub innych porównywalnych sankcji; Przesłanka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określona w art. 57 ust. 4 lit. c dyrektywy stanowi podstawę dla wprowadzenia w ustawie PZP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przesłanki, o której mowa w art. 109 ust. 1 pkt 5) PZP, natomiast określona w art. 57 ust. 4 lit. g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 xml:space="preserve">dyrektywy stanowi ratio legis dla przepisu art. 109 ust. 1 pkt 7) </w:t>
      </w:r>
      <w:proofErr w:type="spellStart"/>
      <w:r w:rsidRPr="005D388A">
        <w:rPr>
          <w:rFonts w:ascii="Century Gothic" w:hAnsi="Century Gothic" w:cs="Calibri"/>
        </w:rPr>
        <w:t>Pzp</w:t>
      </w:r>
      <w:proofErr w:type="spellEnd"/>
      <w:r w:rsidRPr="005D388A">
        <w:rPr>
          <w:rFonts w:ascii="Century Gothic" w:hAnsi="Century Gothic" w:cs="Calibri"/>
        </w:rPr>
        <w:t>. Przesłanki z art. art. 109 ust. 1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pkt 5) i 7) PZP podobnie jak pozostałe przesłanki fakultatywne przewidziane w ww. postępowaniu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pozwalają na dodatkowe badanie sytuacji podmiotowej wykonawcy.</w:t>
      </w:r>
    </w:p>
    <w:p w14:paraId="2A63CFED" w14:textId="3EC36D3B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Postawa wykonawcy, stopień należytego bądź nienależytego wykonania umowy o zamówienie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publiczne, czyli aspektu jakościowego i merytorycznego wywiązania się z realizacji obowiązku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przyjętego w złożonej ofercie powinny być naczelną kwestią weryfikowaną przez Zamawiających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dbających o udzielanie zamówień publicznych rzetelnym i wiarygodnym wykonawcom.</w:t>
      </w:r>
    </w:p>
    <w:p w14:paraId="079E2D15" w14:textId="6A2BBA77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lastRenderedPageBreak/>
        <w:t>Zamawiający jako gospodarz postępowania - powinien zapewnić sobie jak najszerszy katalog narzędzi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przewidzianych prawem, co umożliwi mu gruntowną weryfikację potencjału wykonawców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oferujących swoje usługi oraz ewentualną eliminację tych wykonawców, którzy nie wykonali lub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nienależycie wykonali zamówienia publicznego. W naszej ocenie tak szerokie podejście do aspektu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badania wiarygodności wykonawców składających ofertę zminimalizuje po stronie Zamawiającego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ryzyko wyboru Wykonawcy, który ma już w okresie ostatnich 3 lat potwierdzone niewykonanie</w:t>
      </w:r>
    </w:p>
    <w:p w14:paraId="5A342C2F" w14:textId="77777777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umowy o zamówienie publiczne.</w:t>
      </w:r>
    </w:p>
    <w:p w14:paraId="46458664" w14:textId="65F7D083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Brak w przedmiotowym postępowaniu fakultatywnych przesłanek wykluczenia wykonawców na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podstawie art. 109 ust. 1 pkt 5) i 7) PZP spowoduje brak realnej możliwości weryfikacji przez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Zamawiającego negatywnego doświadczenia Wykonawców. Dodatkowo uwzględnienie przywołanej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powyżej przesłanki stanowi realizację obowiązku Zamawiającego wynikającego również z norm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udzielania zamówienia przewidzianych w art. 44 ust. 3 pkt 1 ustawy z dnia 27 sierpnia 2009r. o</w:t>
      </w:r>
    </w:p>
    <w:p w14:paraId="64F29A2C" w14:textId="2E9520B8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t>finansach publicznych (Dz. U. z 2019 r. poz. 869 ze zm.). Zgodnie z przywołanym przepisem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„Wydatkowanie powinno być dokonywane w sposób celowy i oszczędny, z zachowaniem zasad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uzyskiwania najlepszych efektów z danych nakładów, optymalnego doboru metod i środków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służących osiągnięciu założonych celów, w sposób umożliwiający terminową realizację zadań.”.</w:t>
      </w:r>
    </w:p>
    <w:p w14:paraId="651AE240" w14:textId="1F40315D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5D388A">
        <w:rPr>
          <w:rFonts w:ascii="Century Gothic" w:hAnsi="Century Gothic" w:cs="Calibri"/>
        </w:rPr>
        <w:t>Mając na względzie Państwa uzasadniony interes polegający na maksymalnym zabezpieczeniu niczym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niezakłóconego świadczenia usług medycznych przez szpital - uprzejmie wnosimy jak powyżej</w:t>
      </w:r>
    </w:p>
    <w:p w14:paraId="78DF161C" w14:textId="1181968B" w:rsidR="00724371" w:rsidRPr="005D388A" w:rsidRDefault="005016E0" w:rsidP="005D388A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5D388A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5D388A">
        <w:rPr>
          <w:rFonts w:ascii="Century Gothic" w:hAnsi="Century Gothic"/>
          <w:color w:val="auto"/>
          <w:sz w:val="22"/>
          <w:szCs w:val="22"/>
        </w:rPr>
        <w:t xml:space="preserve"> </w:t>
      </w:r>
      <w:r w:rsidR="0080431B">
        <w:rPr>
          <w:rFonts w:ascii="Century Gothic" w:hAnsi="Century Gothic"/>
          <w:color w:val="auto"/>
          <w:sz w:val="22"/>
          <w:szCs w:val="22"/>
        </w:rPr>
        <w:t>Zamawiający podtrzymuje zapisy SWZ.</w:t>
      </w:r>
    </w:p>
    <w:p w14:paraId="4EFDF90C" w14:textId="77777777" w:rsidR="00BB36D4" w:rsidRPr="005D388A" w:rsidRDefault="00BB36D4" w:rsidP="005D388A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78A123D7" w14:textId="7B1C4C44" w:rsidR="005D388A" w:rsidRPr="005D1593" w:rsidRDefault="00E21383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/>
          <w:b/>
        </w:rPr>
        <w:t xml:space="preserve">Pytanie </w:t>
      </w:r>
      <w:r w:rsidR="001E63A6" w:rsidRPr="005D388A">
        <w:rPr>
          <w:rFonts w:ascii="Century Gothic" w:hAnsi="Century Gothic"/>
          <w:b/>
        </w:rPr>
        <w:t>4.</w:t>
      </w:r>
      <w:r w:rsidR="001E63A6" w:rsidRPr="005D388A">
        <w:rPr>
          <w:rFonts w:ascii="Century Gothic" w:hAnsi="Century Gothic"/>
        </w:rPr>
        <w:t xml:space="preserve"> </w:t>
      </w:r>
      <w:r w:rsidR="005D388A" w:rsidRPr="005D1593">
        <w:rPr>
          <w:rFonts w:ascii="Century Gothic" w:hAnsi="Century Gothic" w:cs="Calibri"/>
        </w:rPr>
        <w:t>Zgodnie art. 436 ust. 3 Zamawiający ustanowił maksymalną wysokość kar umownych na poziomie aż</w:t>
      </w:r>
      <w:r w:rsidR="005D388A" w:rsidRPr="005D1593">
        <w:rPr>
          <w:rFonts w:ascii="Century Gothic" w:hAnsi="Century Gothic" w:cs="Calibri"/>
        </w:rPr>
        <w:t xml:space="preserve">  </w:t>
      </w:r>
      <w:r w:rsidR="005D388A" w:rsidRPr="005D1593">
        <w:rPr>
          <w:rFonts w:ascii="Century Gothic" w:hAnsi="Century Gothic" w:cs="Calibri"/>
        </w:rPr>
        <w:t>50% wartości umowy. W związku z powyższym wnosimy o zmniejszenie kary oraz o poprawienie</w:t>
      </w:r>
      <w:r w:rsidR="005D388A" w:rsidRPr="005D1593">
        <w:rPr>
          <w:rFonts w:ascii="Century Gothic" w:hAnsi="Century Gothic" w:cs="Calibri"/>
        </w:rPr>
        <w:t xml:space="preserve"> </w:t>
      </w:r>
      <w:r w:rsidR="005D388A" w:rsidRPr="005D1593">
        <w:rPr>
          <w:rFonts w:ascii="Century Gothic" w:hAnsi="Century Gothic" w:cs="Calibri"/>
        </w:rPr>
        <w:t xml:space="preserve">zapisu w następujący sposób: </w:t>
      </w:r>
      <w:r w:rsidR="005D388A" w:rsidRPr="005D1593">
        <w:rPr>
          <w:rFonts w:ascii="Century Gothic" w:hAnsi="Century Gothic" w:cs="Calibri-Italic"/>
          <w:i/>
          <w:iCs/>
        </w:rPr>
        <w:t>„Łączna wysokość należności, jakie Wykonawca będzie zobowiązany</w:t>
      </w:r>
      <w:r w:rsidR="005D388A" w:rsidRPr="005D1593">
        <w:rPr>
          <w:rFonts w:ascii="Century Gothic" w:hAnsi="Century Gothic" w:cs="Calibri-Italic"/>
          <w:i/>
          <w:iCs/>
        </w:rPr>
        <w:t xml:space="preserve"> </w:t>
      </w:r>
      <w:r w:rsidR="005D388A" w:rsidRPr="005D1593">
        <w:rPr>
          <w:rFonts w:ascii="Century Gothic" w:hAnsi="Century Gothic" w:cs="Calibri-Italic"/>
          <w:i/>
          <w:iCs/>
        </w:rPr>
        <w:t>zapłacić Zamawiającemu z tytułu kar umownych przewidzianych Umową, nie może przekroczyć 10%</w:t>
      </w:r>
      <w:r w:rsidR="005D388A" w:rsidRPr="005D1593">
        <w:rPr>
          <w:rFonts w:ascii="Century Gothic" w:hAnsi="Century Gothic" w:cs="Calibri-Italic"/>
          <w:i/>
          <w:iCs/>
        </w:rPr>
        <w:t xml:space="preserve"> </w:t>
      </w:r>
      <w:r w:rsidR="005D388A" w:rsidRPr="005D1593">
        <w:rPr>
          <w:rFonts w:ascii="Century Gothic" w:hAnsi="Century Gothic" w:cs="Calibri-Italic"/>
          <w:i/>
          <w:iCs/>
        </w:rPr>
        <w:t xml:space="preserve">łącznego wynagrodzenia brutto wskazanego w § 12 ust. 1 Umowy.”. </w:t>
      </w:r>
      <w:r w:rsidR="005D388A" w:rsidRPr="005D1593">
        <w:rPr>
          <w:rFonts w:ascii="Century Gothic" w:hAnsi="Century Gothic" w:cs="Calibri"/>
        </w:rPr>
        <w:t>Obecny zapis powoduje, iż</w:t>
      </w:r>
    </w:p>
    <w:p w14:paraId="76428BBB" w14:textId="258B4C8B" w:rsidR="005D388A" w:rsidRPr="00745FA6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5D1593">
        <w:rPr>
          <w:rFonts w:ascii="Century Gothic" w:hAnsi="Century Gothic" w:cs="Calibri"/>
        </w:rPr>
        <w:t>Wykonawcy zostaje naliczona wyższa kara umowna za nieprawidłową realizację niż w przypadku nie</w:t>
      </w:r>
      <w:r w:rsidRPr="005D1593">
        <w:rPr>
          <w:rFonts w:ascii="Century Gothic" w:hAnsi="Century Gothic" w:cs="Calibri"/>
        </w:rPr>
        <w:t xml:space="preserve"> </w:t>
      </w:r>
      <w:r w:rsidRPr="00745FA6">
        <w:rPr>
          <w:rFonts w:ascii="Century Gothic" w:hAnsi="Century Gothic" w:cs="Calibri"/>
        </w:rPr>
        <w:t>zrealizowania jej. Prosimy o zmniejszenie maksymalnej wysokości kar umownych.</w:t>
      </w:r>
    </w:p>
    <w:p w14:paraId="30D51DAF" w14:textId="7EC52329" w:rsidR="0080431B" w:rsidRPr="00745FA6" w:rsidRDefault="005016E0" w:rsidP="0080431B">
      <w:pPr>
        <w:pStyle w:val="Default"/>
        <w:rPr>
          <w:rFonts w:ascii="Century Gothic" w:hAnsi="Century Gothic" w:cs="Arial"/>
          <w:sz w:val="22"/>
          <w:szCs w:val="22"/>
        </w:rPr>
      </w:pPr>
      <w:r w:rsidRPr="00745FA6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745FA6">
        <w:rPr>
          <w:rFonts w:ascii="Century Gothic" w:hAnsi="Century Gothic"/>
          <w:sz w:val="22"/>
          <w:szCs w:val="22"/>
        </w:rPr>
        <w:t xml:space="preserve"> </w:t>
      </w:r>
      <w:r w:rsidR="0080431B" w:rsidRPr="00745FA6">
        <w:rPr>
          <w:rFonts w:ascii="Century Gothic" w:hAnsi="Century Gothic" w:cs="Arial"/>
          <w:sz w:val="22"/>
          <w:szCs w:val="22"/>
        </w:rPr>
        <w:t xml:space="preserve">Zamawiający </w:t>
      </w:r>
      <w:r w:rsidR="00D24A06" w:rsidRPr="00745FA6">
        <w:rPr>
          <w:rFonts w:ascii="Century Gothic" w:hAnsi="Century Gothic" w:cs="Arial"/>
          <w:sz w:val="22"/>
          <w:szCs w:val="22"/>
        </w:rPr>
        <w:t xml:space="preserve">dokonuje zmiany </w:t>
      </w:r>
      <w:r w:rsidR="00745FA6" w:rsidRPr="00745FA6">
        <w:rPr>
          <w:rFonts w:ascii="Century Gothic" w:hAnsi="Century Gothic" w:cs="Arial"/>
          <w:sz w:val="22"/>
          <w:szCs w:val="22"/>
        </w:rPr>
        <w:t>zapisu paragrafu 13 ust. 2 na:</w:t>
      </w:r>
    </w:p>
    <w:p w14:paraId="5FD4834D" w14:textId="5E4F4D4C" w:rsidR="001E63A6" w:rsidRDefault="00745FA6" w:rsidP="00745FA6">
      <w:pPr>
        <w:spacing w:after="0"/>
        <w:jc w:val="both"/>
        <w:rPr>
          <w:rFonts w:ascii="Century Gothic" w:hAnsi="Century Gothic"/>
        </w:rPr>
      </w:pPr>
      <w:r w:rsidRPr="00745FA6">
        <w:rPr>
          <w:rFonts w:ascii="Century Gothic" w:hAnsi="Century Gothic"/>
        </w:rPr>
        <w:t>„</w:t>
      </w:r>
      <w:r w:rsidRPr="00745FA6">
        <w:rPr>
          <w:rFonts w:ascii="Century Gothic" w:hAnsi="Century Gothic"/>
        </w:rPr>
        <w:t>Łączna wysokość należności, jakie Wykonawca będzie zobowiązany zapłacić Zamawiającemu z tytułu kar umownych przewidzianych Umową, nie może przekroczyć 30 % łącznego wynagrodzenia brutto wskazanego w § 12 ust. 1  Umowy</w:t>
      </w:r>
      <w:r w:rsidRPr="00745FA6">
        <w:rPr>
          <w:rFonts w:ascii="Century Gothic" w:hAnsi="Century Gothic"/>
        </w:rPr>
        <w:t>”.</w:t>
      </w:r>
    </w:p>
    <w:p w14:paraId="23553A7F" w14:textId="77777777" w:rsidR="00745FA6" w:rsidRPr="00745FA6" w:rsidRDefault="00745FA6" w:rsidP="00745FA6">
      <w:pPr>
        <w:spacing w:after="0"/>
        <w:jc w:val="both"/>
        <w:rPr>
          <w:rFonts w:ascii="Century Gothic" w:hAnsi="Century Gothic"/>
        </w:rPr>
      </w:pPr>
    </w:p>
    <w:p w14:paraId="009A09CA" w14:textId="52210CDB" w:rsidR="005D388A" w:rsidRPr="005D388A" w:rsidRDefault="00E024B9" w:rsidP="00745F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/>
          <w:b/>
        </w:rPr>
        <w:t xml:space="preserve">Pytanie </w:t>
      </w:r>
      <w:r w:rsidR="001E63A6" w:rsidRPr="005D388A">
        <w:rPr>
          <w:rFonts w:ascii="Century Gothic" w:hAnsi="Century Gothic"/>
          <w:b/>
        </w:rPr>
        <w:t>5</w:t>
      </w:r>
      <w:r w:rsidR="001E63A6" w:rsidRPr="005D388A">
        <w:rPr>
          <w:rFonts w:ascii="Century Gothic" w:hAnsi="Century Gothic"/>
        </w:rPr>
        <w:t xml:space="preserve">. </w:t>
      </w:r>
      <w:r w:rsidR="005D388A" w:rsidRPr="005D388A">
        <w:rPr>
          <w:rFonts w:ascii="Century Gothic" w:hAnsi="Century Gothic" w:cs="Calibri"/>
        </w:rPr>
        <w:t>Prosimy Zamawiającego o obniżenie kary umownej przewidzianej w projekcie umowy w § 13 pkt. 1</w:t>
      </w:r>
      <w:r w:rsidR="005D388A">
        <w:rPr>
          <w:rFonts w:ascii="Century Gothic" w:hAnsi="Century Gothic" w:cs="Calibri"/>
        </w:rPr>
        <w:t xml:space="preserve"> </w:t>
      </w:r>
      <w:proofErr w:type="spellStart"/>
      <w:r w:rsidR="005D388A" w:rsidRPr="005D388A">
        <w:rPr>
          <w:rFonts w:ascii="Century Gothic" w:hAnsi="Century Gothic" w:cs="Calibri"/>
        </w:rPr>
        <w:t>ppkt</w:t>
      </w:r>
      <w:proofErr w:type="spellEnd"/>
      <w:r w:rsidR="005D388A" w:rsidRPr="005D388A">
        <w:rPr>
          <w:rFonts w:ascii="Century Gothic" w:hAnsi="Century Gothic" w:cs="Calibri"/>
        </w:rPr>
        <w:t>. 1 projektu umowy. Proponujemy zmniejszenie kary umownej do 10 % wartości miesięcznego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wynagrodzenia. Relacja wysokości przewidzianych kar umownych do uchybień, na wypadek których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zostały przewidziane, powoduje zachwianie relacji pomiędzy wysokością zastrzeżonej kary umownej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do wysokości wynagrodzenia za wykonanie zobowiązania oraz zachwianie stosunku wysokości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zastrzeżonej kary umownej do wysokości doznawanej szkody (zob. wyrok Sądu Najwyższego z dnia 21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września 2007 r., V CSK 139/07 oraz uchwałę składu 7 sędziów Sądu Najwyższego z dnia 6 listopada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2003 r., III CZP 61/03). Kara umowna jest, bowiem surogatem odszkodowania, zastrzeżonym w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określonej wysokości i nie może prowadzić do nieuzasadnionego wzbogacenia wierzyciela (zob.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 xml:space="preserve">wyrok Sądu Apelacyjnego w Katowicach z dnia 28 września 2010 r., V </w:t>
      </w:r>
      <w:proofErr w:type="spellStart"/>
      <w:r w:rsidR="005D388A" w:rsidRPr="005D388A">
        <w:rPr>
          <w:rFonts w:ascii="Century Gothic" w:hAnsi="Century Gothic" w:cs="Calibri"/>
        </w:rPr>
        <w:t>ACa</w:t>
      </w:r>
      <w:proofErr w:type="spellEnd"/>
      <w:r w:rsidR="005D388A" w:rsidRPr="005D388A">
        <w:rPr>
          <w:rFonts w:ascii="Century Gothic" w:hAnsi="Century Gothic" w:cs="Calibri"/>
        </w:rPr>
        <w:t xml:space="preserve"> 267/10). Kary umowne</w:t>
      </w:r>
    </w:p>
    <w:p w14:paraId="0EF2D95A" w14:textId="6D013624" w:rsidR="005D388A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 w:cs="Calibri"/>
        </w:rPr>
        <w:lastRenderedPageBreak/>
        <w:t>zastrzeżone przez Zamawiającego pozwolą mu nie tylko na pokrycie ewentualnej szkody, ale przede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wszystkim na sfinansowanie znacznej części zamówienia przez Wykonawcę, a tym samym na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wzbogacenie Zamawiającego. Pozbawienie Wykonawcy znacznej części miesięcznego wynagrodzenia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z powodu jednorazowych uchybień, doprowadzi do zachwiania zasady ekwiwalentności świadczeń w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umowie o charakterze wzajemnym. Fakt, że kara umowna pełni funkcję dyscyplinującą, nie może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prowadzić do nadmiernego wzbogacenia Zamawiającego. Kara umowna pełni w pierwszej kolejności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 xml:space="preserve">funkcję odszkodowawczą (zob. wyrok Sądu Apelacyjnego w Szczecinie z dnia 4 grudnia 2014 r., I </w:t>
      </w:r>
      <w:proofErr w:type="spellStart"/>
      <w:r w:rsidRPr="005D388A">
        <w:rPr>
          <w:rFonts w:ascii="Century Gothic" w:hAnsi="Century Gothic" w:cs="Calibri"/>
        </w:rPr>
        <w:t>ACa</w:t>
      </w:r>
      <w:proofErr w:type="spellEnd"/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 xml:space="preserve">793/14 oraz wyrok Sądu Apelacyjnego w Szczecinie z dnia 23 września 2014 r., I </w:t>
      </w:r>
      <w:proofErr w:type="spellStart"/>
      <w:r w:rsidRPr="005D388A">
        <w:rPr>
          <w:rFonts w:ascii="Century Gothic" w:hAnsi="Century Gothic" w:cs="Calibri"/>
        </w:rPr>
        <w:t>ACa</w:t>
      </w:r>
      <w:proofErr w:type="spellEnd"/>
      <w:r w:rsidRPr="005D388A">
        <w:rPr>
          <w:rFonts w:ascii="Century Gothic" w:hAnsi="Century Gothic" w:cs="Calibri"/>
        </w:rPr>
        <w:t xml:space="preserve"> 343/14).</w:t>
      </w:r>
    </w:p>
    <w:p w14:paraId="5E7802E1" w14:textId="011ADF1C" w:rsidR="005D388A" w:rsidRPr="00745FA6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5D388A">
        <w:rPr>
          <w:rFonts w:ascii="Century Gothic" w:hAnsi="Century Gothic" w:cs="Calibri"/>
        </w:rPr>
        <w:t>Przewidziane przez Zamawiającego kary umowne są nie do zaakceptowania, ponieważ prowadzą do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 xml:space="preserve">rażącego pokrzywdzenia jednej ze stron, w sposób nieadekwatny </w:t>
      </w:r>
      <w:r w:rsidRPr="00745FA6">
        <w:rPr>
          <w:rFonts w:ascii="Century Gothic" w:hAnsi="Century Gothic" w:cs="Calibri"/>
        </w:rPr>
        <w:t>do celu ochrony, którą zamierzała</w:t>
      </w:r>
      <w:r w:rsidRPr="00745FA6">
        <w:rPr>
          <w:rFonts w:ascii="Century Gothic" w:hAnsi="Century Gothic" w:cs="Calibri"/>
        </w:rPr>
        <w:t xml:space="preserve"> </w:t>
      </w:r>
      <w:r w:rsidRPr="00745FA6">
        <w:rPr>
          <w:rFonts w:ascii="Century Gothic" w:hAnsi="Century Gothic" w:cs="Calibri"/>
        </w:rPr>
        <w:t>uzyskać strona przez jej wprowadzenie (zob. wyrok Sądu Apelacyjnego w Gdańsku z dnia 14 maja</w:t>
      </w:r>
      <w:r w:rsidRPr="00745FA6">
        <w:rPr>
          <w:rFonts w:ascii="Century Gothic" w:hAnsi="Century Gothic" w:cs="Calibri"/>
        </w:rPr>
        <w:t xml:space="preserve"> </w:t>
      </w:r>
      <w:r w:rsidRPr="00745FA6">
        <w:rPr>
          <w:rFonts w:ascii="Century Gothic" w:hAnsi="Century Gothic" w:cs="Calibri"/>
        </w:rPr>
        <w:t xml:space="preserve">2013 roku, I </w:t>
      </w:r>
      <w:proofErr w:type="spellStart"/>
      <w:r w:rsidRPr="00745FA6">
        <w:rPr>
          <w:rFonts w:ascii="Century Gothic" w:hAnsi="Century Gothic" w:cs="Calibri"/>
        </w:rPr>
        <w:t>ACa</w:t>
      </w:r>
      <w:proofErr w:type="spellEnd"/>
      <w:r w:rsidRPr="00745FA6">
        <w:rPr>
          <w:rFonts w:ascii="Century Gothic" w:hAnsi="Century Gothic" w:cs="Calibri"/>
        </w:rPr>
        <w:t xml:space="preserve"> 173/13). W związku z powyższym wnosimy jak na wstępie.</w:t>
      </w:r>
    </w:p>
    <w:p w14:paraId="53BC33C7" w14:textId="77777777" w:rsidR="00745FA6" w:rsidRPr="00745FA6" w:rsidRDefault="005016E0" w:rsidP="00745FA6">
      <w:pPr>
        <w:spacing w:after="0"/>
        <w:jc w:val="both"/>
        <w:rPr>
          <w:rFonts w:ascii="Century Gothic" w:hAnsi="Century Gothic" w:cs="Arial"/>
        </w:rPr>
      </w:pPr>
      <w:r w:rsidRPr="00745FA6">
        <w:rPr>
          <w:rFonts w:ascii="Century Gothic" w:hAnsi="Century Gothic"/>
          <w:b/>
          <w:bCs/>
        </w:rPr>
        <w:t xml:space="preserve">Odpowiedź: </w:t>
      </w:r>
      <w:r w:rsidR="00745FA6" w:rsidRPr="00745FA6">
        <w:rPr>
          <w:rFonts w:ascii="Century Gothic" w:hAnsi="Century Gothic" w:cs="Arial"/>
        </w:rPr>
        <w:t>Zamawiający dokonuje zmiany zapisu paragrafu 13 ust</w:t>
      </w:r>
      <w:r w:rsidR="00745FA6" w:rsidRPr="00745FA6">
        <w:rPr>
          <w:rFonts w:ascii="Century Gothic" w:hAnsi="Century Gothic" w:cs="Arial"/>
        </w:rPr>
        <w:t>. 1 pkt. 1na:</w:t>
      </w:r>
    </w:p>
    <w:p w14:paraId="1D84714D" w14:textId="1CC4B873" w:rsidR="00E024B9" w:rsidRPr="00745FA6" w:rsidRDefault="00745FA6" w:rsidP="00745FA6">
      <w:pPr>
        <w:spacing w:after="0"/>
        <w:jc w:val="both"/>
        <w:rPr>
          <w:rFonts w:ascii="Century Gothic" w:hAnsi="Century Gothic"/>
        </w:rPr>
      </w:pPr>
      <w:r w:rsidRPr="00745FA6">
        <w:rPr>
          <w:rFonts w:ascii="Century Gothic" w:hAnsi="Century Gothic" w:cs="Arial"/>
        </w:rPr>
        <w:t>„</w:t>
      </w:r>
      <w:r w:rsidRPr="00745FA6">
        <w:rPr>
          <w:rFonts w:ascii="Century Gothic" w:hAnsi="Century Gothic"/>
        </w:rPr>
        <w:t xml:space="preserve"> </w:t>
      </w:r>
      <w:r w:rsidRPr="00745FA6">
        <w:rPr>
          <w:rFonts w:ascii="Century Gothic" w:hAnsi="Century Gothic"/>
        </w:rPr>
        <w:t>w przypadku odstąpienia od Umowy przez którąkolwiek ze Stron z przyczyn leżących po stronie Wykonawcy - w wysokości 5 % łącznego wynagrodzenia brutto wskazanego w § 12 ust. 1 Umowy</w:t>
      </w:r>
      <w:r w:rsidRPr="00745FA6">
        <w:rPr>
          <w:rFonts w:ascii="Century Gothic" w:hAnsi="Century Gothic"/>
        </w:rPr>
        <w:t>”.</w:t>
      </w:r>
    </w:p>
    <w:p w14:paraId="41E4C754" w14:textId="77777777" w:rsidR="00745FA6" w:rsidRPr="00745FA6" w:rsidRDefault="00745FA6" w:rsidP="00745FA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E8966B0" w14:textId="2411828D" w:rsidR="005D388A" w:rsidRPr="005D388A" w:rsidRDefault="003E401F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5D388A">
        <w:rPr>
          <w:rFonts w:ascii="Century Gothic" w:hAnsi="Century Gothic"/>
          <w:b/>
        </w:rPr>
        <w:t xml:space="preserve">Pytanie </w:t>
      </w:r>
      <w:r w:rsidR="001E63A6" w:rsidRPr="005D388A">
        <w:rPr>
          <w:rFonts w:ascii="Century Gothic" w:hAnsi="Century Gothic"/>
          <w:b/>
        </w:rPr>
        <w:t xml:space="preserve">6. </w:t>
      </w:r>
      <w:r w:rsidR="005D388A" w:rsidRPr="005D388A">
        <w:rPr>
          <w:rFonts w:ascii="Century Gothic" w:hAnsi="Century Gothic" w:cs="Calibri"/>
        </w:rPr>
        <w:t>Zwracamy się z prośbą o wprowadzenie do wzoru umowy zapisu umożliwiającego stronom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rozwiązanie umowy z 3-miesięcznym wypowiedzeniem. Proponujemy wprowadzenie następującego</w:t>
      </w:r>
      <w:r w:rsidR="005D388A">
        <w:rPr>
          <w:rFonts w:ascii="Century Gothic" w:hAnsi="Century Gothic" w:cs="Calibri"/>
        </w:rPr>
        <w:t xml:space="preserve"> </w:t>
      </w:r>
      <w:r w:rsidR="005D388A" w:rsidRPr="005D388A">
        <w:rPr>
          <w:rFonts w:ascii="Century Gothic" w:hAnsi="Century Gothic" w:cs="Calibri"/>
        </w:rPr>
        <w:t>zapis: „Każda ze stron może wypowiedzieć umowę z ważnych powodów z zachowaniem 3-miesięcznego okresu wypowiedzenia.”</w:t>
      </w:r>
    </w:p>
    <w:p w14:paraId="162A5022" w14:textId="45B0CC4D" w:rsidR="007D279F" w:rsidRPr="005D388A" w:rsidRDefault="005D388A" w:rsidP="005D3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 w:rsidRPr="005D388A">
        <w:rPr>
          <w:rFonts w:ascii="Century Gothic" w:hAnsi="Century Gothic" w:cs="Calibri"/>
        </w:rPr>
        <w:t>Należy zauważyć, że w momencie zawierania umowy strony nie są w stanie przewidzieć wszystkich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okoliczności oraz czynników mogących mieć negatywny wpływ na wykonywanie zobowiązań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umownych dla każdej ze stron, jak również w sposób kompleksowy i wyczerpujący uregulować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procedury postępowania w takich wypadkach, Wprowadzenie możliwości rozwiązania umowy za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wypowiedzeniem ma na celu stworzenie podstaw prawnych do zakończenia stosunku prawnego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pomiędzy stronami, jeżeli z określonych powodów nie są one zainteresowane dalszym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kontynuowaniem współpracy na dotychczasowych warunkach. Obowiązujące przepisy ustawy prawo</w:t>
      </w:r>
      <w:r>
        <w:rPr>
          <w:rFonts w:ascii="Century Gothic" w:hAnsi="Century Gothic" w:cs="Calibri"/>
        </w:rPr>
        <w:t xml:space="preserve"> </w:t>
      </w:r>
      <w:r w:rsidRPr="005D388A">
        <w:rPr>
          <w:rFonts w:ascii="Century Gothic" w:hAnsi="Century Gothic" w:cs="Calibri"/>
        </w:rPr>
        <w:t>zamówień publicznych nie zawierają w tym zakresie żadnych zakazów.</w:t>
      </w:r>
    </w:p>
    <w:p w14:paraId="6BADF4D1" w14:textId="64666BF6" w:rsidR="005016E0" w:rsidRPr="005D388A" w:rsidRDefault="005016E0" w:rsidP="005D388A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5D388A">
        <w:rPr>
          <w:rFonts w:ascii="Century Gothic" w:hAnsi="Century Gothic"/>
          <w:b/>
          <w:bCs/>
          <w:sz w:val="22"/>
          <w:szCs w:val="22"/>
        </w:rPr>
        <w:t>Odpowiedź:</w:t>
      </w:r>
      <w:r w:rsidRPr="005D388A">
        <w:rPr>
          <w:rFonts w:ascii="Century Gothic" w:hAnsi="Century Gothic"/>
          <w:sz w:val="22"/>
          <w:szCs w:val="22"/>
        </w:rPr>
        <w:t xml:space="preserve"> </w:t>
      </w:r>
      <w:r w:rsidR="00D24A06">
        <w:rPr>
          <w:rFonts w:ascii="Century Gothic" w:hAnsi="Century Gothic"/>
          <w:sz w:val="22"/>
          <w:szCs w:val="22"/>
        </w:rPr>
        <w:t>Zamawiający podtrzymuje zapisy SWZ.</w:t>
      </w:r>
    </w:p>
    <w:p w14:paraId="6AD45140" w14:textId="77777777" w:rsidR="007D279F" w:rsidRPr="005016E0" w:rsidRDefault="007D279F" w:rsidP="007D279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CC92DDD" w14:textId="77777777" w:rsidR="005016E0" w:rsidRDefault="005016E0" w:rsidP="00157738">
      <w:pPr>
        <w:spacing w:after="0"/>
        <w:ind w:left="3540"/>
        <w:jc w:val="center"/>
        <w:rPr>
          <w:rFonts w:ascii="Century Gothic" w:hAnsi="Century Gothic"/>
        </w:rPr>
      </w:pPr>
    </w:p>
    <w:p w14:paraId="1E40C6E0" w14:textId="43CD0F1A" w:rsidR="00157738" w:rsidRPr="00157738" w:rsidRDefault="00157738" w:rsidP="00157738">
      <w:pPr>
        <w:spacing w:after="0"/>
        <w:ind w:left="3540"/>
        <w:jc w:val="center"/>
        <w:rPr>
          <w:rStyle w:val="Pogrubienie"/>
          <w:rFonts w:ascii="Century Gothic" w:hAnsi="Century Gothic"/>
          <w:b w:val="0"/>
          <w:i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 w:cs="Calibri"/>
          <w:i/>
          <w:sz w:val="18"/>
          <w:szCs w:val="18"/>
        </w:rPr>
        <w:t xml:space="preserve">                                                                 dr n. med. Mirosława </w:t>
      </w:r>
      <w:proofErr w:type="spellStart"/>
      <w:r w:rsidRPr="00157738">
        <w:rPr>
          <w:rFonts w:ascii="Century Gothic" w:hAnsi="Century Gothic" w:cs="Calibri"/>
          <w:i/>
          <w:sz w:val="18"/>
          <w:szCs w:val="18"/>
        </w:rPr>
        <w:t>Pellowska</w:t>
      </w:r>
      <w:proofErr w:type="spellEnd"/>
      <w:r w:rsidRPr="00157738">
        <w:rPr>
          <w:rFonts w:ascii="Century Gothic" w:hAnsi="Century Gothic" w:cs="Calibri"/>
          <w:i/>
          <w:sz w:val="18"/>
          <w:szCs w:val="18"/>
        </w:rPr>
        <w:t>-Piontek</w:t>
      </w:r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</w:t>
      </w:r>
    </w:p>
    <w:p w14:paraId="361A4AC1" w14:textId="77777777" w:rsidR="00157738" w:rsidRPr="00157738" w:rsidRDefault="00157738" w:rsidP="00157738">
      <w:pPr>
        <w:tabs>
          <w:tab w:val="left" w:pos="5172"/>
        </w:tabs>
        <w:spacing w:after="0"/>
        <w:rPr>
          <w:rStyle w:val="Pogrubienie"/>
          <w:rFonts w:ascii="Century Gothic" w:hAnsi="Century Gothic" w:cs="Calibri"/>
          <w:b w:val="0"/>
          <w:i/>
          <w:sz w:val="18"/>
          <w:szCs w:val="18"/>
        </w:rPr>
      </w:pPr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ab/>
        <w:t xml:space="preserve">                </w:t>
      </w:r>
      <w:bookmarkStart w:id="0" w:name="_GoBack"/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/-/</w:t>
      </w:r>
    </w:p>
    <w:bookmarkEnd w:id="0"/>
    <w:p w14:paraId="29B29D9D" w14:textId="77777777" w:rsidR="00157738" w:rsidRPr="00157738" w:rsidRDefault="00157738" w:rsidP="00157738">
      <w:pPr>
        <w:spacing w:after="0"/>
        <w:jc w:val="center"/>
        <w:rPr>
          <w:rFonts w:cs="Times New Roman"/>
          <w:sz w:val="18"/>
          <w:szCs w:val="18"/>
        </w:rPr>
      </w:pPr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                           Prezes Zarządu</w:t>
      </w:r>
    </w:p>
    <w:p w14:paraId="44555F29" w14:textId="77777777" w:rsidR="00191E6D" w:rsidRPr="00191E6D" w:rsidRDefault="00191E6D">
      <w:pPr>
        <w:jc w:val="both"/>
        <w:rPr>
          <w:rFonts w:ascii="Century Gothic" w:hAnsi="Century Gothic"/>
        </w:rPr>
      </w:pPr>
    </w:p>
    <w:sectPr w:rsidR="00191E6D" w:rsidRPr="0019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CBF2E"/>
    <w:multiLevelType w:val="hybridMultilevel"/>
    <w:tmpl w:val="4C38516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B73DAE"/>
    <w:multiLevelType w:val="hybridMultilevel"/>
    <w:tmpl w:val="C6866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B72F99"/>
    <w:multiLevelType w:val="hybridMultilevel"/>
    <w:tmpl w:val="5A1A6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953355"/>
    <w:multiLevelType w:val="hybridMultilevel"/>
    <w:tmpl w:val="5DA3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351C5C"/>
    <w:multiLevelType w:val="hybridMultilevel"/>
    <w:tmpl w:val="B67DF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56A625E"/>
    <w:multiLevelType w:val="hybridMultilevel"/>
    <w:tmpl w:val="CFC1A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C5DC37"/>
    <w:multiLevelType w:val="hybridMultilevel"/>
    <w:tmpl w:val="16CAE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14548F"/>
    <w:multiLevelType w:val="hybridMultilevel"/>
    <w:tmpl w:val="44073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34C388"/>
    <w:multiLevelType w:val="hybridMultilevel"/>
    <w:tmpl w:val="2CB052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3B986D4"/>
    <w:multiLevelType w:val="hybridMultilevel"/>
    <w:tmpl w:val="32152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1AD8B0A"/>
    <w:multiLevelType w:val="hybridMultilevel"/>
    <w:tmpl w:val="4915F1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F3A6F2"/>
    <w:multiLevelType w:val="hybridMultilevel"/>
    <w:tmpl w:val="BE98C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357A12"/>
    <w:multiLevelType w:val="hybridMultilevel"/>
    <w:tmpl w:val="8FDEDDF0"/>
    <w:lvl w:ilvl="0" w:tplc="98F4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4C0A"/>
    <w:multiLevelType w:val="hybridMultilevel"/>
    <w:tmpl w:val="91F18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BFD36F"/>
    <w:multiLevelType w:val="hybridMultilevel"/>
    <w:tmpl w:val="35D57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7607D6"/>
    <w:multiLevelType w:val="hybridMultilevel"/>
    <w:tmpl w:val="A890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84183E"/>
    <w:multiLevelType w:val="hybridMultilevel"/>
    <w:tmpl w:val="13D8BE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1"/>
    <w:rsid w:val="00157738"/>
    <w:rsid w:val="00191E6D"/>
    <w:rsid w:val="001C05CC"/>
    <w:rsid w:val="001E63A6"/>
    <w:rsid w:val="00242E94"/>
    <w:rsid w:val="00250248"/>
    <w:rsid w:val="003E401F"/>
    <w:rsid w:val="004A122C"/>
    <w:rsid w:val="004D73FF"/>
    <w:rsid w:val="005016E0"/>
    <w:rsid w:val="005D1593"/>
    <w:rsid w:val="005D388A"/>
    <w:rsid w:val="005F57FC"/>
    <w:rsid w:val="006141E1"/>
    <w:rsid w:val="00724371"/>
    <w:rsid w:val="00745FA6"/>
    <w:rsid w:val="007600B2"/>
    <w:rsid w:val="00783EE4"/>
    <w:rsid w:val="007D279F"/>
    <w:rsid w:val="0080431B"/>
    <w:rsid w:val="008628D2"/>
    <w:rsid w:val="0090780D"/>
    <w:rsid w:val="009D72E0"/>
    <w:rsid w:val="00A94C31"/>
    <w:rsid w:val="00AB5F52"/>
    <w:rsid w:val="00BB36D4"/>
    <w:rsid w:val="00CC029C"/>
    <w:rsid w:val="00CC36E7"/>
    <w:rsid w:val="00D24A06"/>
    <w:rsid w:val="00D654BF"/>
    <w:rsid w:val="00E024B9"/>
    <w:rsid w:val="00E21383"/>
    <w:rsid w:val="00E2374B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90CF"/>
  <w15:chartTrackingRefBased/>
  <w15:docId w15:val="{0A630BF0-9485-42C7-AAAD-FE18385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4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4D73FF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1E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1E6D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7738"/>
    <w:rPr>
      <w:b/>
      <w:bCs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,Akapit z list¹,CW_Lista,T_SZ_List Paragraph,nr3,Wyliczanie,Akapit z listą BS"/>
    <w:basedOn w:val="Normalny"/>
    <w:link w:val="AkapitzlistZnak"/>
    <w:uiPriority w:val="34"/>
    <w:qFormat/>
    <w:rsid w:val="0080431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,CW_Lista Znak"/>
    <w:link w:val="Akapitzlist"/>
    <w:uiPriority w:val="34"/>
    <w:qFormat/>
    <w:locked/>
    <w:rsid w:val="008043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9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9F37-49DD-4D18-801D-253E9481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2</cp:revision>
  <cp:lastPrinted>2022-02-25T12:29:00Z</cp:lastPrinted>
  <dcterms:created xsi:type="dcterms:W3CDTF">2022-02-25T12:29:00Z</dcterms:created>
  <dcterms:modified xsi:type="dcterms:W3CDTF">2022-02-25T12:29:00Z</dcterms:modified>
</cp:coreProperties>
</file>