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BC42AB" w14:textId="6924E36F" w:rsidR="006066B1" w:rsidRDefault="0085364D">
      <w:pPr>
        <w:ind w:right="-54"/>
        <w:jc w:val="right"/>
        <w:rPr>
          <w:b/>
          <w:u w:val="single"/>
        </w:rPr>
      </w:pPr>
      <w:r>
        <w:rPr>
          <w:b/>
          <w:u w:val="single"/>
        </w:rPr>
        <w:t>znak sprawy:</w:t>
      </w:r>
      <w:r w:rsidR="00163B0C">
        <w:rPr>
          <w:b/>
          <w:u w:val="single"/>
        </w:rPr>
        <w:t xml:space="preserve"> DZP.271.23.2024</w:t>
      </w:r>
    </w:p>
    <w:p w14:paraId="7B5662A6" w14:textId="77777777" w:rsidR="006066B1" w:rsidRDefault="006066B1">
      <w:pPr>
        <w:ind w:right="-54"/>
      </w:pPr>
    </w:p>
    <w:p w14:paraId="3C1373EA" w14:textId="77777777" w:rsidR="006066B1" w:rsidRDefault="0085364D">
      <w:pPr>
        <w:pStyle w:val="Nagwek2"/>
        <w:rPr>
          <w:b w:val="0"/>
        </w:rPr>
      </w:pPr>
      <w:r>
        <w:rPr>
          <w:b w:val="0"/>
        </w:rPr>
        <w:t xml:space="preserve">Załącznik nr 5 do </w:t>
      </w:r>
      <w:proofErr w:type="spellStart"/>
      <w:r>
        <w:rPr>
          <w:b w:val="0"/>
        </w:rPr>
        <w:t>siwz</w:t>
      </w:r>
      <w:proofErr w:type="spellEnd"/>
    </w:p>
    <w:p w14:paraId="5152AA5A" w14:textId="77777777" w:rsidR="006066B1" w:rsidRDefault="0085364D">
      <w:pPr>
        <w:ind w:right="-284"/>
      </w:pPr>
      <w:r>
        <w:t>.................................................................</w:t>
      </w:r>
    </w:p>
    <w:p w14:paraId="6B5E306F" w14:textId="77777777" w:rsidR="006066B1" w:rsidRDefault="0085364D">
      <w:pPr>
        <w:ind w:right="-284"/>
      </w:pPr>
      <w:r>
        <w:t xml:space="preserve"> pieczęć firmowa Wykonawcy/Oferenta</w:t>
      </w:r>
    </w:p>
    <w:p w14:paraId="17750830" w14:textId="77777777" w:rsidR="006066B1" w:rsidRDefault="006066B1">
      <w:pPr>
        <w:ind w:right="-284"/>
        <w:rPr>
          <w:sz w:val="20"/>
        </w:rPr>
      </w:pPr>
    </w:p>
    <w:p w14:paraId="7FC7E8A2" w14:textId="77777777" w:rsidR="006066B1" w:rsidRDefault="006066B1">
      <w:pPr>
        <w:jc w:val="center"/>
      </w:pPr>
    </w:p>
    <w:p w14:paraId="33348ED5" w14:textId="77777777" w:rsidR="006066B1" w:rsidRDefault="006066B1">
      <w:pPr>
        <w:jc w:val="center"/>
      </w:pPr>
    </w:p>
    <w:p w14:paraId="02583E26" w14:textId="77777777" w:rsidR="006066B1" w:rsidRDefault="0085364D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SZCZEGÓŁOWY OPIS PRZEDMIOTU ZAMÓWIENIA  </w:t>
      </w:r>
    </w:p>
    <w:p w14:paraId="0E54F733" w14:textId="77777777" w:rsidR="006066B1" w:rsidRDefault="006066B1">
      <w:pPr>
        <w:jc w:val="center"/>
        <w:rPr>
          <w:b/>
          <w:sz w:val="28"/>
          <w:szCs w:val="28"/>
        </w:rPr>
      </w:pPr>
    </w:p>
    <w:p w14:paraId="6C9C0644" w14:textId="77777777" w:rsidR="006066B1" w:rsidRDefault="006066B1">
      <w:pPr>
        <w:jc w:val="center"/>
        <w:rPr>
          <w:b/>
          <w:sz w:val="28"/>
          <w:szCs w:val="28"/>
          <w:u w:val="single"/>
        </w:rPr>
      </w:pPr>
    </w:p>
    <w:p w14:paraId="38A94C06" w14:textId="77777777" w:rsidR="006066B1" w:rsidRDefault="0085364D">
      <w:pPr>
        <w:jc w:val="both"/>
      </w:pPr>
      <w:r>
        <w:t xml:space="preserve">Przedmiotem zamówienia jest świadczenie pogwarancyjnej  usługi serwisowej dla aparatu do brachyterapii </w:t>
      </w:r>
      <w:proofErr w:type="spellStart"/>
      <w:r>
        <w:t>Flexitron</w:t>
      </w:r>
      <w:proofErr w:type="spellEnd"/>
      <w:r>
        <w:t xml:space="preserve"> s/n FT 007420547 wraz z systemem do planowania leczenia </w:t>
      </w:r>
      <w:proofErr w:type="spellStart"/>
      <w:r>
        <w:t>Oncentra</w:t>
      </w:r>
      <w:proofErr w:type="spellEnd"/>
      <w:r>
        <w:t xml:space="preserve"> Brachy, którego  producentem jest   Elekta AB zainstalowanego w  Beskidzkim  Centrum Onkologii – Szpitalu Miejskim im. Jana Pawła II w Bielsku – Białej</w:t>
      </w:r>
    </w:p>
    <w:p w14:paraId="51D65C9E" w14:textId="77777777" w:rsidR="006066B1" w:rsidRDefault="0085364D">
      <w:pPr>
        <w:jc w:val="both"/>
      </w:pPr>
      <w:r>
        <w:t>Usługi serwisowe obejmują naprawę wraz z dostawą i wymianą uszkodzonych części zamiennych oraz wykonywanie przeglądów okresowych.</w:t>
      </w:r>
    </w:p>
    <w:p w14:paraId="27ABFC75" w14:textId="77777777" w:rsidR="006066B1" w:rsidRDefault="0085364D">
      <w:pPr>
        <w:jc w:val="both"/>
      </w:pPr>
      <w:r>
        <w:t>Zamówienie będzie realizowane przez okres 24 miesięcy.</w:t>
      </w:r>
    </w:p>
    <w:p w14:paraId="0C00CCEE" w14:textId="77777777" w:rsidR="006066B1" w:rsidRDefault="006066B1">
      <w:pPr>
        <w:jc w:val="both"/>
      </w:pPr>
    </w:p>
    <w:p w14:paraId="15C27153" w14:textId="77777777" w:rsidR="006066B1" w:rsidRDefault="006066B1">
      <w:pPr>
        <w:jc w:val="both"/>
      </w:pPr>
    </w:p>
    <w:p w14:paraId="5F822CBB" w14:textId="77777777" w:rsidR="006066B1" w:rsidRDefault="0085364D">
      <w:pPr>
        <w:pStyle w:val="Akapitzlist"/>
        <w:numPr>
          <w:ilvl w:val="0"/>
          <w:numId w:val="1"/>
        </w:numPr>
        <w:jc w:val="both"/>
        <w:rPr>
          <w:b/>
          <w:sz w:val="28"/>
          <w:szCs w:val="28"/>
          <w:u w:val="single"/>
        </w:rPr>
      </w:pPr>
      <w:r>
        <w:rPr>
          <w:b/>
        </w:rPr>
        <w:t>WYKAZ SPRZĘTU,  WSKAZANIE ZAKŁADU</w:t>
      </w:r>
    </w:p>
    <w:p w14:paraId="1FFAE8E3" w14:textId="77777777" w:rsidR="006066B1" w:rsidRDefault="006066B1">
      <w:pPr>
        <w:jc w:val="both"/>
        <w:rPr>
          <w:b/>
        </w:rPr>
      </w:pPr>
    </w:p>
    <w:p w14:paraId="77C515F7" w14:textId="77777777" w:rsidR="006066B1" w:rsidRDefault="0085364D">
      <w:pPr>
        <w:jc w:val="both"/>
        <w:rPr>
          <w:sz w:val="28"/>
          <w:szCs w:val="28"/>
          <w:u w:val="single"/>
        </w:rPr>
      </w:pPr>
      <w:r>
        <w:t xml:space="preserve"> </w:t>
      </w:r>
    </w:p>
    <w:tbl>
      <w:tblPr>
        <w:tblW w:w="963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1"/>
        <w:gridCol w:w="4927"/>
      </w:tblGrid>
      <w:tr w:rsidR="006066B1" w14:paraId="1E419EEC" w14:textId="77777777">
        <w:trPr>
          <w:tblHeader/>
        </w:trPr>
        <w:tc>
          <w:tcPr>
            <w:tcW w:w="4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5EE8AC33" w14:textId="77777777" w:rsidR="006066B1" w:rsidRDefault="0085364D">
            <w:pPr>
              <w:pStyle w:val="Nagwektabeli"/>
            </w:pPr>
            <w:r>
              <w:t>Sprzęt</w:t>
            </w:r>
          </w:p>
        </w:tc>
        <w:tc>
          <w:tcPr>
            <w:tcW w:w="4926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F2309F4" w14:textId="77777777" w:rsidR="006066B1" w:rsidRDefault="0085364D">
            <w:pPr>
              <w:pStyle w:val="Nagwektabeli"/>
            </w:pPr>
            <w:r>
              <w:t>Zakład</w:t>
            </w:r>
          </w:p>
        </w:tc>
      </w:tr>
      <w:tr w:rsidR="006066B1" w14:paraId="3FFA8789" w14:textId="77777777">
        <w:tc>
          <w:tcPr>
            <w:tcW w:w="47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567A8FEF" w14:textId="77777777" w:rsidR="006066B1" w:rsidRDefault="0085364D">
            <w:pPr>
              <w:pStyle w:val="Zawartotabeli"/>
              <w:numPr>
                <w:ilvl w:val="0"/>
                <w:numId w:val="7"/>
              </w:numPr>
            </w:pPr>
            <w:r>
              <w:t xml:space="preserve">Urządzenie do brachyterapii </w:t>
            </w:r>
            <w:proofErr w:type="spellStart"/>
            <w:r>
              <w:t>Flexitron</w:t>
            </w:r>
            <w:proofErr w:type="spellEnd"/>
            <w:r>
              <w:t xml:space="preserve"> s/n FT 007420547</w:t>
            </w:r>
          </w:p>
          <w:p w14:paraId="36F0B99D" w14:textId="77777777" w:rsidR="006066B1" w:rsidRDefault="0085364D">
            <w:pPr>
              <w:pStyle w:val="Zawartotabeli"/>
              <w:numPr>
                <w:ilvl w:val="0"/>
                <w:numId w:val="7"/>
              </w:numPr>
            </w:pPr>
            <w:r>
              <w:t xml:space="preserve">System do planowania leczenia </w:t>
            </w:r>
            <w:proofErr w:type="spellStart"/>
            <w:r>
              <w:t>Oncentra</w:t>
            </w:r>
            <w:proofErr w:type="spellEnd"/>
            <w:r>
              <w:t xml:space="preserve"> Brachy</w:t>
            </w:r>
          </w:p>
          <w:p w14:paraId="4C0D8431" w14:textId="77777777" w:rsidR="006066B1" w:rsidRDefault="0085364D">
            <w:pPr>
              <w:pStyle w:val="Zawartotabeli"/>
              <w:numPr>
                <w:ilvl w:val="0"/>
                <w:numId w:val="7"/>
              </w:numPr>
            </w:pPr>
            <w:r>
              <w:t>Źródło promieniotwórcze iryd - 192</w:t>
            </w:r>
          </w:p>
        </w:tc>
        <w:tc>
          <w:tcPr>
            <w:tcW w:w="4926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</w:tcPr>
          <w:p w14:paraId="3D952291" w14:textId="77777777" w:rsidR="006066B1" w:rsidRDefault="0085364D">
            <w:pPr>
              <w:pStyle w:val="Zawartotabeli"/>
            </w:pPr>
            <w:r>
              <w:t>Zakład Radioterapii z Pracownią Brachyterapii</w:t>
            </w:r>
          </w:p>
          <w:p w14:paraId="1D5BFB8E" w14:textId="77777777" w:rsidR="006066B1" w:rsidRDefault="0085364D">
            <w:pPr>
              <w:pStyle w:val="Zawartotabeli"/>
            </w:pPr>
            <w:r>
              <w:t>Beskidzkiego Centrum Onkologii-Szpitala Miejskiego im. Jana Pawła II w Bielsku-Białej</w:t>
            </w:r>
          </w:p>
          <w:p w14:paraId="6CCE391F" w14:textId="77777777" w:rsidR="006066B1" w:rsidRDefault="0085364D">
            <w:pPr>
              <w:pStyle w:val="Zawartotabeli"/>
            </w:pPr>
            <w:r>
              <w:t>ul. Wyzwolenia 18</w:t>
            </w:r>
          </w:p>
          <w:p w14:paraId="3E723F7E" w14:textId="77777777" w:rsidR="006066B1" w:rsidRDefault="0085364D">
            <w:pPr>
              <w:pStyle w:val="Zawartotabeli"/>
            </w:pPr>
            <w:r>
              <w:t>43-300 Bielsko-Biała</w:t>
            </w:r>
          </w:p>
        </w:tc>
      </w:tr>
    </w:tbl>
    <w:p w14:paraId="092E668B" w14:textId="77777777" w:rsidR="006066B1" w:rsidRDefault="006066B1"/>
    <w:p w14:paraId="542098D1" w14:textId="77777777" w:rsidR="006066B1" w:rsidRDefault="006066B1"/>
    <w:p w14:paraId="01937E38" w14:textId="77777777" w:rsidR="006066B1" w:rsidRDefault="0085364D">
      <w:pPr>
        <w:pStyle w:val="Akapitzlist"/>
        <w:numPr>
          <w:ilvl w:val="0"/>
          <w:numId w:val="1"/>
        </w:numPr>
        <w:rPr>
          <w:b/>
        </w:rPr>
      </w:pPr>
      <w:r>
        <w:rPr>
          <w:b/>
        </w:rPr>
        <w:t>CZAS PRACY SERWISU</w:t>
      </w:r>
    </w:p>
    <w:p w14:paraId="125DDA3A" w14:textId="77777777" w:rsidR="006066B1" w:rsidRDefault="006066B1">
      <w:pPr>
        <w:pStyle w:val="Akapitzlist"/>
        <w:ind w:left="1080"/>
        <w:rPr>
          <w:b/>
        </w:rPr>
      </w:pPr>
    </w:p>
    <w:tbl>
      <w:tblPr>
        <w:tblW w:w="8254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4712"/>
        <w:gridCol w:w="1393"/>
        <w:gridCol w:w="867"/>
        <w:gridCol w:w="1282"/>
      </w:tblGrid>
      <w:tr w:rsidR="006066B1" w14:paraId="421D48FB" w14:textId="77777777">
        <w:trPr>
          <w:tblHeader/>
        </w:trPr>
        <w:tc>
          <w:tcPr>
            <w:tcW w:w="4711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3589992C" w14:textId="77777777" w:rsidR="006066B1" w:rsidRDefault="0085364D">
            <w:pPr>
              <w:pStyle w:val="Nagwektabeli"/>
              <w:rPr>
                <w:b w:val="0"/>
                <w:bCs w:val="0"/>
                <w:sz w:val="20"/>
                <w:szCs w:val="20"/>
              </w:rPr>
            </w:pPr>
            <w:r>
              <w:t>Typ Aparatu</w:t>
            </w:r>
          </w:p>
        </w:tc>
        <w:tc>
          <w:tcPr>
            <w:tcW w:w="1393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7AC5F181" w14:textId="77777777" w:rsidR="006066B1" w:rsidRDefault="0085364D">
            <w:pPr>
              <w:pStyle w:val="Nagwektabeli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Przeglądy na 24 miesięcy obowiązywania kontraktu</w:t>
            </w:r>
          </w:p>
        </w:tc>
        <w:tc>
          <w:tcPr>
            <w:tcW w:w="867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</w:tcBorders>
            <w:shd w:val="clear" w:color="auto" w:fill="D9D9D9"/>
          </w:tcPr>
          <w:p w14:paraId="16CED328" w14:textId="77777777" w:rsidR="006066B1" w:rsidRDefault="0085364D">
            <w:pPr>
              <w:pStyle w:val="Nagwektabeli"/>
              <w:rPr>
                <w:b w:val="0"/>
                <w:bCs w:val="0"/>
                <w:sz w:val="20"/>
                <w:szCs w:val="20"/>
              </w:rPr>
            </w:pPr>
            <w:r>
              <w:rPr>
                <w:b w:val="0"/>
                <w:bCs w:val="0"/>
                <w:sz w:val="20"/>
                <w:szCs w:val="20"/>
              </w:rPr>
              <w:t>Naprawy</w:t>
            </w:r>
          </w:p>
        </w:tc>
        <w:tc>
          <w:tcPr>
            <w:tcW w:w="1282" w:type="dxa"/>
            <w:tcBorders>
              <w:top w:val="single" w:sz="2" w:space="0" w:color="000000"/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D9D9D9"/>
          </w:tcPr>
          <w:p w14:paraId="17877196" w14:textId="77777777" w:rsidR="006066B1" w:rsidRDefault="0085364D">
            <w:pPr>
              <w:pStyle w:val="Nagwektabeli"/>
            </w:pPr>
            <w:r>
              <w:rPr>
                <w:b w:val="0"/>
                <w:bCs w:val="0"/>
                <w:sz w:val="20"/>
                <w:szCs w:val="20"/>
              </w:rPr>
              <w:t>Dni i godziny (oprócz świąt państwowych)</w:t>
            </w:r>
          </w:p>
        </w:tc>
      </w:tr>
      <w:tr w:rsidR="006066B1" w14:paraId="0041F697" w14:textId="77777777">
        <w:tc>
          <w:tcPr>
            <w:tcW w:w="4711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</w:tcPr>
          <w:p w14:paraId="78859594" w14:textId="77777777" w:rsidR="006066B1" w:rsidRDefault="0085364D">
            <w:pPr>
              <w:pStyle w:val="Zawartotabeli"/>
              <w:numPr>
                <w:ilvl w:val="0"/>
                <w:numId w:val="7"/>
              </w:numPr>
            </w:pPr>
            <w:r>
              <w:t xml:space="preserve">Urządzenie do brachyterapii </w:t>
            </w:r>
            <w:proofErr w:type="spellStart"/>
            <w:r>
              <w:t>Flexitron</w:t>
            </w:r>
            <w:proofErr w:type="spellEnd"/>
            <w:r>
              <w:t xml:space="preserve"> s/n FT 007420547</w:t>
            </w:r>
          </w:p>
          <w:p w14:paraId="37C84B26" w14:textId="77777777" w:rsidR="006066B1" w:rsidRDefault="0085364D">
            <w:pPr>
              <w:pStyle w:val="Zawartotabeli"/>
              <w:numPr>
                <w:ilvl w:val="0"/>
                <w:numId w:val="7"/>
              </w:numPr>
            </w:pPr>
            <w:r>
              <w:t xml:space="preserve">System do planowania leczenia </w:t>
            </w:r>
            <w:proofErr w:type="spellStart"/>
            <w:r>
              <w:t>Oncentra</w:t>
            </w:r>
            <w:proofErr w:type="spellEnd"/>
            <w:r>
              <w:t xml:space="preserve"> Brachy</w:t>
            </w:r>
          </w:p>
          <w:p w14:paraId="19F7B85D" w14:textId="77777777" w:rsidR="006066B1" w:rsidRDefault="006066B1">
            <w:pPr>
              <w:pStyle w:val="Zawartotabeli"/>
            </w:pPr>
          </w:p>
        </w:tc>
        <w:tc>
          <w:tcPr>
            <w:tcW w:w="1393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4F688D2B" w14:textId="77777777" w:rsidR="006066B1" w:rsidRDefault="0085364D">
            <w:pPr>
              <w:pStyle w:val="Zawartotabeli"/>
              <w:jc w:val="center"/>
            </w:pPr>
            <w:r>
              <w:t>8 po 8 h</w:t>
            </w:r>
          </w:p>
        </w:tc>
        <w:tc>
          <w:tcPr>
            <w:tcW w:w="867" w:type="dxa"/>
            <w:tcBorders>
              <w:left w:val="single" w:sz="2" w:space="0" w:color="000000"/>
              <w:bottom w:val="single" w:sz="2" w:space="0" w:color="000000"/>
            </w:tcBorders>
            <w:shd w:val="clear" w:color="auto" w:fill="auto"/>
            <w:vAlign w:val="center"/>
          </w:tcPr>
          <w:p w14:paraId="78FC8C1A" w14:textId="77777777" w:rsidR="006066B1" w:rsidRDefault="0085364D">
            <w:pPr>
              <w:pStyle w:val="Zawartotabeli"/>
              <w:jc w:val="center"/>
            </w:pPr>
            <w:r>
              <w:t>Bez limitu</w:t>
            </w:r>
          </w:p>
        </w:tc>
        <w:tc>
          <w:tcPr>
            <w:tcW w:w="1282" w:type="dxa"/>
            <w:tcBorders>
              <w:left w:val="single" w:sz="2" w:space="0" w:color="000000"/>
              <w:bottom w:val="single" w:sz="2" w:space="0" w:color="000000"/>
              <w:right w:val="single" w:sz="2" w:space="0" w:color="000000"/>
            </w:tcBorders>
            <w:shd w:val="clear" w:color="auto" w:fill="auto"/>
            <w:vAlign w:val="center"/>
          </w:tcPr>
          <w:p w14:paraId="0B97A75A" w14:textId="77777777" w:rsidR="006066B1" w:rsidRDefault="0085364D">
            <w:pPr>
              <w:pStyle w:val="Zawartotabeli"/>
              <w:jc w:val="center"/>
            </w:pPr>
            <w:r>
              <w:t>Pon.-Pt.</w:t>
            </w:r>
          </w:p>
          <w:p w14:paraId="53FBDC5E" w14:textId="77777777" w:rsidR="006066B1" w:rsidRDefault="0085364D">
            <w:pPr>
              <w:pStyle w:val="Zawartotabeli"/>
              <w:jc w:val="center"/>
            </w:pPr>
            <w:r>
              <w:t>7-17</w:t>
            </w:r>
          </w:p>
        </w:tc>
      </w:tr>
    </w:tbl>
    <w:p w14:paraId="7D9DBCAB" w14:textId="77777777" w:rsidR="006066B1" w:rsidRDefault="006066B1"/>
    <w:p w14:paraId="275BE6B5" w14:textId="77777777" w:rsidR="006066B1" w:rsidRDefault="006066B1"/>
    <w:p w14:paraId="0BAE75EA" w14:textId="77777777" w:rsidR="006066B1" w:rsidRDefault="0085364D">
      <w:r>
        <w:t>Wykonawca posiada zezwolenie Prezesa Państwowej Agencji Atomistyki na wykonywanie czynności związanych z dostarczeniem i wymianą źródeł promieniotwórczych.</w:t>
      </w:r>
    </w:p>
    <w:p w14:paraId="3EEE4269" w14:textId="77777777" w:rsidR="006066B1" w:rsidRDefault="006066B1"/>
    <w:p w14:paraId="55769D05" w14:textId="77777777" w:rsidR="006066B1" w:rsidRDefault="0085364D">
      <w:r>
        <w:lastRenderedPageBreak/>
        <w:t>Wykonawca może zlecić transport źródeł promieniotwórczych osobom/firmom trzecim, pod warunkiem posiadania przez nie stosownego zezwolenia  Prezesa Państwowej Agencji Atomistyki</w:t>
      </w:r>
    </w:p>
    <w:p w14:paraId="4272B1B7" w14:textId="77777777" w:rsidR="006066B1" w:rsidRDefault="006066B1"/>
    <w:p w14:paraId="45189EB5" w14:textId="77777777" w:rsidR="006066B1" w:rsidRDefault="0085364D">
      <w:pPr>
        <w:rPr>
          <w:u w:val="single"/>
        </w:rPr>
      </w:pPr>
      <w:r>
        <w:t xml:space="preserve">Aktywność nowego źródła promieniotwórczego, w dniu dostawy, nie może być </w:t>
      </w:r>
      <w:r>
        <w:rPr>
          <w:u w:val="single"/>
        </w:rPr>
        <w:t xml:space="preserve">wyższa niż 444 </w:t>
      </w:r>
      <w:proofErr w:type="spellStart"/>
      <w:r>
        <w:rPr>
          <w:u w:val="single"/>
        </w:rPr>
        <w:t>GBq</w:t>
      </w:r>
      <w:proofErr w:type="spellEnd"/>
      <w:r>
        <w:rPr>
          <w:u w:val="single"/>
        </w:rPr>
        <w:t xml:space="preserve">, ani niższa niż 370 </w:t>
      </w:r>
      <w:proofErr w:type="spellStart"/>
      <w:r>
        <w:rPr>
          <w:u w:val="single"/>
        </w:rPr>
        <w:t>GBq</w:t>
      </w:r>
      <w:proofErr w:type="spellEnd"/>
      <w:r>
        <w:rPr>
          <w:u w:val="single"/>
        </w:rPr>
        <w:t>.</w:t>
      </w:r>
    </w:p>
    <w:p w14:paraId="5C8D6ECD" w14:textId="77777777" w:rsidR="006066B1" w:rsidRDefault="006066B1"/>
    <w:p w14:paraId="38E0A1A3" w14:textId="77777777" w:rsidR="006066B1" w:rsidRDefault="0085364D">
      <w:r>
        <w:t>Opis oczekiwanych prac konserwacyjnych podczas przeglądów z wymianą źródła (raz na trzy miesiące)</w:t>
      </w:r>
    </w:p>
    <w:p w14:paraId="1CA5CB06" w14:textId="77777777" w:rsidR="006066B1" w:rsidRDefault="006066B1"/>
    <w:p w14:paraId="1F6A72BC" w14:textId="77777777" w:rsidR="006066B1" w:rsidRDefault="0085364D">
      <w:pPr>
        <w:pStyle w:val="Akapitzlist"/>
        <w:numPr>
          <w:ilvl w:val="0"/>
          <w:numId w:val="2"/>
        </w:numPr>
      </w:pPr>
      <w:r>
        <w:t>Wyładowanie zużytego źródła promieniotwórczego</w:t>
      </w:r>
    </w:p>
    <w:p w14:paraId="51C049B2" w14:textId="77777777" w:rsidR="006066B1" w:rsidRDefault="0085364D">
      <w:pPr>
        <w:pStyle w:val="Akapitzlist"/>
        <w:numPr>
          <w:ilvl w:val="0"/>
          <w:numId w:val="3"/>
        </w:numPr>
      </w:pPr>
      <w:r>
        <w:t>wyładowanie źródła i umieszczenie w pojemniku transportowym</w:t>
      </w:r>
    </w:p>
    <w:p w14:paraId="58D822BB" w14:textId="77777777" w:rsidR="006066B1" w:rsidRDefault="0085364D">
      <w:pPr>
        <w:pStyle w:val="Akapitzlist"/>
        <w:numPr>
          <w:ilvl w:val="0"/>
          <w:numId w:val="3"/>
        </w:numPr>
      </w:pPr>
      <w:r>
        <w:t xml:space="preserve">odbiór źródła i przekazanie do transportu, zgodnie z obowiązującymi przepisami </w:t>
      </w:r>
    </w:p>
    <w:p w14:paraId="76B93D71" w14:textId="77777777" w:rsidR="006066B1" w:rsidRDefault="0085364D">
      <w:pPr>
        <w:pStyle w:val="Akapitzlist"/>
        <w:numPr>
          <w:ilvl w:val="0"/>
          <w:numId w:val="2"/>
        </w:numPr>
      </w:pPr>
      <w:r>
        <w:t xml:space="preserve">Przegląd </w:t>
      </w:r>
      <w:proofErr w:type="spellStart"/>
      <w:r>
        <w:t>afterloadera</w:t>
      </w:r>
      <w:proofErr w:type="spellEnd"/>
    </w:p>
    <w:p w14:paraId="3B770C44" w14:textId="77777777" w:rsidR="006066B1" w:rsidRDefault="0085364D">
      <w:pPr>
        <w:pStyle w:val="Akapitzlist"/>
        <w:numPr>
          <w:ilvl w:val="0"/>
          <w:numId w:val="4"/>
        </w:numPr>
      </w:pPr>
      <w:r>
        <w:t xml:space="preserve">wykonanie testów kwartalnych, zgodnie z procedurą ustanowioną przez producenta urządzenia </w:t>
      </w:r>
    </w:p>
    <w:p w14:paraId="611E5C0D" w14:textId="77777777" w:rsidR="006066B1" w:rsidRDefault="0085364D">
      <w:pPr>
        <w:pStyle w:val="Akapitzlist"/>
        <w:numPr>
          <w:ilvl w:val="0"/>
          <w:numId w:val="2"/>
        </w:numPr>
      </w:pPr>
      <w:r>
        <w:t>Załadowanie nowego źródła promieniotwórczego</w:t>
      </w:r>
    </w:p>
    <w:p w14:paraId="64BE4646" w14:textId="77777777" w:rsidR="006066B1" w:rsidRDefault="0085364D">
      <w:pPr>
        <w:pStyle w:val="Akapitzlist"/>
        <w:numPr>
          <w:ilvl w:val="0"/>
          <w:numId w:val="5"/>
        </w:numPr>
      </w:pPr>
      <w:r>
        <w:t xml:space="preserve">przyjęcie źródła z transportu, przekazanie użytkownikowi, zgodnie z obowiązującymi przepisami </w:t>
      </w:r>
    </w:p>
    <w:p w14:paraId="729AC651" w14:textId="77777777" w:rsidR="006066B1" w:rsidRDefault="0085364D">
      <w:pPr>
        <w:pStyle w:val="Akapitzlist"/>
        <w:numPr>
          <w:ilvl w:val="0"/>
          <w:numId w:val="5"/>
        </w:numPr>
      </w:pPr>
      <w:r>
        <w:t xml:space="preserve">załadowanie nowego źródła do </w:t>
      </w:r>
      <w:proofErr w:type="spellStart"/>
      <w:r>
        <w:t>afterloadera</w:t>
      </w:r>
      <w:proofErr w:type="spellEnd"/>
    </w:p>
    <w:p w14:paraId="36B6F7EE" w14:textId="77777777" w:rsidR="006066B1" w:rsidRDefault="0085364D">
      <w:pPr>
        <w:pStyle w:val="Akapitzlist"/>
        <w:numPr>
          <w:ilvl w:val="0"/>
          <w:numId w:val="5"/>
        </w:numPr>
      </w:pPr>
      <w:r>
        <w:t>wykonanie testów i regulacji, według procedury przewidzianej przez producenta, w tym test i regulacja położenia źródła w aplikatorze</w:t>
      </w:r>
    </w:p>
    <w:p w14:paraId="24522B85" w14:textId="77777777" w:rsidR="006066B1" w:rsidRDefault="006066B1"/>
    <w:p w14:paraId="7F5C60C8" w14:textId="77777777" w:rsidR="006066B1" w:rsidRDefault="0085364D">
      <w:r>
        <w:t xml:space="preserve">Opis oczekiwanych prac konserwacyjnych podczas przeglądów z wymianą źródła </w:t>
      </w:r>
    </w:p>
    <w:p w14:paraId="15F9E633" w14:textId="77777777" w:rsidR="006066B1" w:rsidRDefault="006066B1"/>
    <w:p w14:paraId="2F00EAA6" w14:textId="7CF52A2B" w:rsidR="006066B1" w:rsidRPr="00163B0C" w:rsidRDefault="0085364D">
      <w:pPr>
        <w:pStyle w:val="Akapitzlist"/>
        <w:numPr>
          <w:ilvl w:val="0"/>
          <w:numId w:val="6"/>
        </w:numPr>
      </w:pPr>
      <w:r w:rsidRPr="00163B0C">
        <w:t>Wykonanie czynności opisanych w punktach 1 – 3 jak podczas przeglądów raz na  trzy miesiące</w:t>
      </w:r>
    </w:p>
    <w:p w14:paraId="5136BE04" w14:textId="77777777" w:rsidR="006066B1" w:rsidRDefault="0085364D">
      <w:pPr>
        <w:pStyle w:val="Akapitzlist"/>
        <w:numPr>
          <w:ilvl w:val="0"/>
          <w:numId w:val="6"/>
        </w:numPr>
      </w:pPr>
      <w:r w:rsidRPr="00163B0C">
        <w:t>Kontrola stanu podzespołów</w:t>
      </w:r>
      <w:r>
        <w:t xml:space="preserve"> mechanicznych i elektronicznych, i w razie potrzeby wymiana na nowe lub naprawa</w:t>
      </w:r>
    </w:p>
    <w:p w14:paraId="3C2485E1" w14:textId="77777777" w:rsidR="006066B1" w:rsidRDefault="0085364D">
      <w:pPr>
        <w:pStyle w:val="Akapitzlist"/>
        <w:numPr>
          <w:ilvl w:val="0"/>
          <w:numId w:val="6"/>
        </w:numPr>
      </w:pPr>
      <w:r>
        <w:t>Wymiana podzespołów przewidzianych do wymiany przez producenta, w tym między innymi: prowadnice  źródła i „</w:t>
      </w:r>
      <w:proofErr w:type="spellStart"/>
      <w:r>
        <w:t>dummy</w:t>
      </w:r>
      <w:proofErr w:type="spellEnd"/>
      <w:r>
        <w:t>”, zespoły napędowe, elementy zasilania awaryjnego</w:t>
      </w:r>
    </w:p>
    <w:p w14:paraId="6030EE31" w14:textId="77777777" w:rsidR="006066B1" w:rsidRDefault="006066B1"/>
    <w:sectPr w:rsidR="006066B1">
      <w:pgSz w:w="11906" w:h="16838"/>
      <w:pgMar w:top="1417" w:right="1417" w:bottom="1417" w:left="141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951E1"/>
    <w:multiLevelType w:val="multilevel"/>
    <w:tmpl w:val="EA2EA654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1" w15:restartNumberingAfterBreak="0">
    <w:nsid w:val="17107370"/>
    <w:multiLevelType w:val="multilevel"/>
    <w:tmpl w:val="D92AD474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2" w15:restartNumberingAfterBreak="0">
    <w:nsid w:val="1CD429D5"/>
    <w:multiLevelType w:val="multilevel"/>
    <w:tmpl w:val="08609732"/>
    <w:lvl w:ilvl="0">
      <w:start w:val="1"/>
      <w:numFmt w:val="upperRoman"/>
      <w:lvlText w:val="%1."/>
      <w:lvlJc w:val="left"/>
      <w:pPr>
        <w:tabs>
          <w:tab w:val="num" w:pos="0"/>
        </w:tabs>
        <w:ind w:left="1080" w:hanging="720"/>
      </w:pPr>
      <w:rPr>
        <w:sz w:val="24"/>
        <w:u w:val="none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3" w15:restartNumberingAfterBreak="0">
    <w:nsid w:val="2635715D"/>
    <w:multiLevelType w:val="multilevel"/>
    <w:tmpl w:val="8EEC79FC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480" w:hanging="180"/>
      </w:pPr>
    </w:lvl>
  </w:abstractNum>
  <w:abstractNum w:abstractNumId="4" w15:restartNumberingAfterBreak="0">
    <w:nsid w:val="3BDA6687"/>
    <w:multiLevelType w:val="multilevel"/>
    <w:tmpl w:val="1EBA1926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5" w15:restartNumberingAfterBreak="0">
    <w:nsid w:val="46B9667F"/>
    <w:multiLevelType w:val="multilevel"/>
    <w:tmpl w:val="E722BB50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6" w15:restartNumberingAfterBreak="0">
    <w:nsid w:val="54254F70"/>
    <w:multiLevelType w:val="multilevel"/>
    <w:tmpl w:val="76B6C3D2"/>
    <w:lvl w:ilvl="0">
      <w:start w:val="1"/>
      <w:numFmt w:val="lowerLetter"/>
      <w:lvlText w:val="%1)"/>
      <w:lvlJc w:val="left"/>
      <w:pPr>
        <w:tabs>
          <w:tab w:val="num" w:pos="0"/>
        </w:tabs>
        <w:ind w:left="1080" w:hanging="360"/>
      </w:p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80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252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324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96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468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540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612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840" w:hanging="180"/>
      </w:pPr>
    </w:lvl>
  </w:abstractNum>
  <w:abstractNum w:abstractNumId="7" w15:restartNumberingAfterBreak="0">
    <w:nsid w:val="65BA5DB8"/>
    <w:multiLevelType w:val="multilevel"/>
    <w:tmpl w:val="3D3ED4A0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alibri" w:hAnsi="Calibri" w:cs="Calibri" w:hint="default"/>
        <w:b/>
        <w:i w:val="0"/>
        <w:color w:val="4472C4"/>
        <w:sz w:val="18"/>
        <w:szCs w:val="18"/>
        <w:u w:val="none" w:color="000000" w:themeColor="dark1"/>
      </w:rPr>
    </w:lvl>
    <w:lvl w:ilvl="1">
      <w:start w:val="1"/>
      <w:numFmt w:val="bullet"/>
      <w:lvlText w:val="o"/>
      <w:lvlJc w:val="left"/>
      <w:pPr>
        <w:tabs>
          <w:tab w:val="num" w:pos="0"/>
        </w:tabs>
        <w:ind w:left="1440" w:hanging="360"/>
      </w:pPr>
      <w:rPr>
        <w:rFonts w:ascii="Courier New" w:hAnsi="Courier New" w:cs="Courier New" w:hint="default"/>
      </w:rPr>
    </w:lvl>
    <w:lvl w:ilvl="2">
      <w:start w:val="1"/>
      <w:numFmt w:val="bullet"/>
      <w:lvlText w:val=""/>
      <w:lvlJc w:val="left"/>
      <w:pPr>
        <w:tabs>
          <w:tab w:val="num" w:pos="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0"/>
        </w:tabs>
        <w:ind w:left="3600" w:hanging="360"/>
      </w:pPr>
      <w:rPr>
        <w:rFonts w:ascii="Courier New" w:hAnsi="Courier New" w:cs="Courier New" w:hint="default"/>
      </w:rPr>
    </w:lvl>
    <w:lvl w:ilvl="5">
      <w:start w:val="1"/>
      <w:numFmt w:val="bullet"/>
      <w:lvlText w:val=""/>
      <w:lvlJc w:val="left"/>
      <w:pPr>
        <w:tabs>
          <w:tab w:val="num" w:pos="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0"/>
        </w:tabs>
        <w:ind w:left="5760" w:hanging="360"/>
      </w:pPr>
      <w:rPr>
        <w:rFonts w:ascii="Courier New" w:hAnsi="Courier New" w:cs="Courier New" w:hint="default"/>
      </w:rPr>
    </w:lvl>
    <w:lvl w:ilvl="8">
      <w:start w:val="1"/>
      <w:numFmt w:val="bullet"/>
      <w:lvlText w:val=""/>
      <w:lvlJc w:val="left"/>
      <w:pPr>
        <w:tabs>
          <w:tab w:val="num" w:pos="0"/>
        </w:tabs>
        <w:ind w:left="6480" w:hanging="360"/>
      </w:pPr>
      <w:rPr>
        <w:rFonts w:ascii="Wingdings" w:hAnsi="Wingdings" w:cs="Wingdings" w:hint="default"/>
      </w:rPr>
    </w:lvl>
  </w:abstractNum>
  <w:num w:numId="1" w16cid:durableId="435247709">
    <w:abstractNumId w:val="2"/>
  </w:num>
  <w:num w:numId="2" w16cid:durableId="1186597225">
    <w:abstractNumId w:val="3"/>
  </w:num>
  <w:num w:numId="3" w16cid:durableId="1342467474">
    <w:abstractNumId w:val="0"/>
  </w:num>
  <w:num w:numId="4" w16cid:durableId="402266051">
    <w:abstractNumId w:val="6"/>
  </w:num>
  <w:num w:numId="5" w16cid:durableId="1480806568">
    <w:abstractNumId w:val="5"/>
  </w:num>
  <w:num w:numId="6" w16cid:durableId="1941064603">
    <w:abstractNumId w:val="1"/>
  </w:num>
  <w:num w:numId="7" w16cid:durableId="1402212629">
    <w:abstractNumId w:val="7"/>
  </w:num>
  <w:num w:numId="8" w16cid:durableId="1421946644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autoHyphenation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066B1"/>
    <w:rsid w:val="00163B0C"/>
    <w:rsid w:val="006066B1"/>
    <w:rsid w:val="00853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55D7EC"/>
  <w15:docId w15:val="{7A630EC0-743D-4FC6-A52A-0C801CB7AB5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60C6A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460C6A"/>
    <w:pPr>
      <w:keepNext/>
      <w:ind w:right="-54"/>
      <w:jc w:val="right"/>
      <w:outlineLvl w:val="1"/>
    </w:pPr>
    <w:rPr>
      <w:b/>
      <w:b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qFormat/>
    <w:rsid w:val="00460C6A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sid w:val="00810DE5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Znakiprzypiswkocowych">
    <w:name w:val="Znaki przypisów końcowych"/>
    <w:basedOn w:val="Domylnaczcionkaakapitu"/>
    <w:uiPriority w:val="99"/>
    <w:semiHidden/>
    <w:unhideWhenUsed/>
    <w:qFormat/>
    <w:rsid w:val="00810DE5"/>
    <w:rPr>
      <w:vertAlign w:val="superscript"/>
    </w:rPr>
  </w:style>
  <w:style w:type="character" w:styleId="Odwoanieprzypisukocowego">
    <w:name w:val="endnote reference"/>
    <w:rPr>
      <w:vertAlign w:val="superscript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CB0B86"/>
    <w:rPr>
      <w:rFonts w:ascii="Tahoma" w:eastAsia="Times New Roman" w:hAnsi="Tahoma" w:cs="Tahoma"/>
      <w:sz w:val="16"/>
      <w:szCs w:val="16"/>
      <w:lang w:eastAsia="pl-PL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Tekstpodstawowy">
    <w:name w:val="Body Text"/>
    <w:basedOn w:val="Normalny"/>
    <w:pPr>
      <w:spacing w:after="140" w:line="276" w:lineRule="auto"/>
    </w:pPr>
  </w:style>
  <w:style w:type="paragraph" w:styleId="Lista">
    <w:name w:val="List"/>
    <w:basedOn w:val="Tekstpodstawowy"/>
    <w:rPr>
      <w:rFonts w:cs="Arial Unicode MS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 Unicode MS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 Unicode MS"/>
    </w:rPr>
  </w:style>
  <w:style w:type="paragraph" w:styleId="Akapitzlist">
    <w:name w:val="List Paragraph"/>
    <w:basedOn w:val="Normalny"/>
    <w:uiPriority w:val="34"/>
    <w:qFormat/>
    <w:rsid w:val="00460C6A"/>
    <w:pPr>
      <w:ind w:left="720"/>
      <w:contextualSpacing/>
    </w:pPr>
  </w:style>
  <w:style w:type="paragraph" w:customStyle="1" w:styleId="Zawartotabeli">
    <w:name w:val="Zawartość tabeli"/>
    <w:basedOn w:val="Normalny"/>
    <w:qFormat/>
    <w:rsid w:val="00460C6A"/>
    <w:pPr>
      <w:widowControl w:val="0"/>
      <w:suppressLineNumbers/>
    </w:pPr>
    <w:rPr>
      <w:rFonts w:eastAsia="SimSun" w:cs="Mangal"/>
      <w:kern w:val="2"/>
      <w:lang w:eastAsia="hi-IN" w:bidi="hi-IN"/>
    </w:rPr>
  </w:style>
  <w:style w:type="paragraph" w:customStyle="1" w:styleId="Nagwektabeli">
    <w:name w:val="Nagłówek tabeli"/>
    <w:basedOn w:val="Zawartotabeli"/>
    <w:qFormat/>
    <w:rsid w:val="00460C6A"/>
    <w:pPr>
      <w:jc w:val="center"/>
    </w:pPr>
    <w:rPr>
      <w:b/>
      <w:bCs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810DE5"/>
    <w:rPr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CB0B86"/>
    <w:rPr>
      <w:rFonts w:ascii="Tahoma" w:hAnsi="Tahoma" w:cs="Tahoma"/>
      <w:sz w:val="16"/>
      <w:szCs w:val="16"/>
    </w:rPr>
  </w:style>
  <w:style w:type="paragraph" w:customStyle="1" w:styleId="Default">
    <w:name w:val="Default"/>
    <w:qFormat/>
    <w:rsid w:val="00CB0B86"/>
    <w:rPr>
      <w:rFonts w:ascii="Times New Roman" w:eastAsia="Times New Roman" w:hAnsi="Times New Roman" w:cs="Times New Roman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tint val="50000"/>
              </a:schemeClr>
            </a:gs>
            <a:gs pos="35000">
              <a:schemeClr val="phClr">
                <a:tint val="37000"/>
              </a:schemeClr>
            </a:gs>
            <a:gs pos="100000">
              <a:schemeClr val="phClr">
                <a:tint val="15000"/>
              </a:schemeClr>
            </a:gs>
          </a:gsLst>
          <a:lin ang="16200000" scaled="1"/>
          <a:tileRect/>
        </a:gradFill>
        <a:gradFill>
          <a:gsLst>
            <a:gs pos="0">
              <a:schemeClr val="phClr">
                <a:shade val="51000"/>
              </a:schemeClr>
            </a:gs>
            <a:gs pos="80000">
              <a:schemeClr val="phClr">
                <a:shade val="93000"/>
              </a:schemeClr>
            </a:gs>
            <a:gs pos="100000">
              <a:schemeClr val="phClr">
                <a:shade val="94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prstDash val="solid"/>
        </a:ln>
        <a:ln w="25400" cap="flat" cmpd="sng" algn="ctr">
          <a:prstDash val="solid"/>
        </a:ln>
        <a:ln w="38100" cap="flat" cmpd="sng" algn="ctr"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</a:schemeClr>
            </a:gs>
            <a:gs pos="40000">
              <a:schemeClr val="phClr">
                <a:tint val="45000"/>
                <a:shade val="99000"/>
              </a:schemeClr>
            </a:gs>
            <a:gs pos="100000">
              <a:schemeClr val="phClr">
                <a:shade val="20000"/>
              </a:schemeClr>
            </a:gs>
          </a:gsLst>
          <a:path path="circle">
            <a:fillToRect l="50000" t="-80000" r="50000" b="180000"/>
          </a:path>
          <a:tileRect/>
        </a:gradFill>
        <a:gradFill>
          <a:gsLst>
            <a:gs pos="0">
              <a:schemeClr val="phClr">
                <a:tint val="80000"/>
              </a:schemeClr>
            </a:gs>
            <a:gs pos="100000">
              <a:schemeClr val="phClr">
                <a:shade val="3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422</Words>
  <Characters>2536</Characters>
  <Application>Microsoft Office Word</Application>
  <DocSecurity>0</DocSecurity>
  <Lines>21</Lines>
  <Paragraphs>5</Paragraphs>
  <ScaleCrop>false</ScaleCrop>
  <Company>Hewlett-Packard</Company>
  <LinksUpToDate>false</LinksUpToDate>
  <CharactersWithSpaces>2953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BCO Bielsko-Biała Informatyka</dc:creator>
  <dc:description/>
  <cp:lastModifiedBy>BCO Bielsko-Biała Informatyka</cp:lastModifiedBy>
  <cp:revision>3</cp:revision>
  <cp:lastPrinted>2024-04-22T11:26:00Z</cp:lastPrinted>
  <dcterms:created xsi:type="dcterms:W3CDTF">2024-04-04T05:52:00Z</dcterms:created>
  <dcterms:modified xsi:type="dcterms:W3CDTF">2024-04-22T11:29:00Z</dcterms:modified>
  <dc:language>pl-PL</dc:language>
</cp:coreProperties>
</file>