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C6" w:rsidRDefault="005D75C6" w:rsidP="005D75C6">
      <w:pPr>
        <w:keepNext/>
        <w:spacing w:line="276" w:lineRule="auto"/>
        <w:jc w:val="both"/>
        <w:rPr>
          <w:rFonts w:eastAsia="Calibri"/>
          <w:b/>
          <w:sz w:val="22"/>
          <w:szCs w:val="22"/>
          <w:lang w:eastAsia="pl-PL"/>
        </w:rPr>
      </w:pP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 xml:space="preserve">Załącznik pomocniczy nr </w:t>
      </w:r>
      <w:r w:rsidR="00EB7DA4">
        <w:rPr>
          <w:rFonts w:asciiTheme="minorHAnsi" w:hAnsiTheme="minorHAnsi" w:cstheme="minorHAnsi"/>
          <w:b/>
          <w:bCs/>
          <w:u w:val="single"/>
          <w:lang w:eastAsia="ar-SA"/>
        </w:rPr>
        <w:t>1</w:t>
      </w: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 xml:space="preserve"> do pisma </w:t>
      </w:r>
      <w:r w:rsidRPr="00B319D9">
        <w:rPr>
          <w:rFonts w:asciiTheme="minorHAnsi" w:hAnsiTheme="minorHAnsi" w:cstheme="minorHAnsi"/>
          <w:b/>
          <w:bCs/>
          <w:u w:val="single"/>
          <w:lang w:eastAsia="ar-SA"/>
        </w:rPr>
        <w:t xml:space="preserve">Zamawiającego z dnia </w:t>
      </w:r>
      <w:r w:rsidR="00DD318E">
        <w:rPr>
          <w:rFonts w:asciiTheme="minorHAnsi" w:hAnsiTheme="minorHAnsi" w:cstheme="minorHAnsi"/>
          <w:b/>
          <w:bCs/>
          <w:u w:val="single"/>
          <w:lang w:eastAsia="ar-SA"/>
        </w:rPr>
        <w:t>02.12.2019 r.</w:t>
      </w:r>
      <w:bookmarkStart w:id="0" w:name="_GoBack"/>
      <w:bookmarkEnd w:id="0"/>
      <w:r w:rsidRPr="00B319D9">
        <w:rPr>
          <w:rFonts w:asciiTheme="minorHAnsi" w:hAnsiTheme="minorHAnsi" w:cstheme="minorHAnsi"/>
          <w:b/>
          <w:bCs/>
          <w:u w:val="single"/>
          <w:lang w:eastAsia="ar-SA"/>
        </w:rPr>
        <w:t xml:space="preserve"> (znak sprawy</w:t>
      </w: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>: JRP.271.1.4.2019), dotyczącego modyfikacji SIWZ.</w:t>
      </w:r>
    </w:p>
    <w:p w:rsidR="005D75C6" w:rsidRDefault="005D75C6" w:rsidP="005D75C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5D75C6" w:rsidRPr="0083185B" w:rsidRDefault="005D75C6" w:rsidP="005D75C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83185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1 do Formularza Oferty </w:t>
      </w:r>
      <w:r w:rsidRPr="0083185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– Załącznik do Oferty – Dokument, który Wykonawca zobowiązany jest złożyć wraz z Formularzem Oferty.</w:t>
      </w:r>
    </w:p>
    <w:p w:rsidR="005D75C6" w:rsidRPr="0083185B" w:rsidRDefault="005D75C6" w:rsidP="005D75C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5D75C6" w:rsidRPr="0083185B" w:rsidRDefault="005D75C6" w:rsidP="005D75C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83185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DANE KONTRAKTOWE</w:t>
      </w:r>
    </w:p>
    <w:p w:rsidR="005D75C6" w:rsidRPr="0083185B" w:rsidRDefault="005D75C6" w:rsidP="005D75C6">
      <w:pPr>
        <w:keepNext/>
        <w:keepLines/>
        <w:spacing w:before="60" w:after="18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DLA PRZETARGU NIEOGRANICZONEGO</w:t>
      </w: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Na: „Zaprojektowanie i budowa instalacji fermentacji oraz wiaty i boksów magazynowych w ZUOK Orli Staw”</w:t>
      </w:r>
      <w:r w:rsidRPr="0083185B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92"/>
      </w:tblGrid>
      <w:tr w:rsidR="005D75C6" w:rsidRPr="0083185B" w:rsidTr="00EC73DF">
        <w:tc>
          <w:tcPr>
            <w:tcW w:w="655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92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JRP.271.1.4.2019</w:t>
            </w:r>
          </w:p>
        </w:tc>
      </w:tr>
    </w:tbl>
    <w:p w:rsidR="005D75C6" w:rsidRPr="0083185B" w:rsidRDefault="005D75C6" w:rsidP="005D75C6">
      <w:pPr>
        <w:keepNext/>
        <w:keepLines/>
        <w:numPr>
          <w:ilvl w:val="0"/>
          <w:numId w:val="13"/>
        </w:numPr>
        <w:spacing w:before="60" w:after="180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ZAMAWIAJĄCY:</w:t>
      </w:r>
    </w:p>
    <w:p w:rsidR="005D75C6" w:rsidRPr="0083185B" w:rsidRDefault="005D75C6" w:rsidP="005D75C6">
      <w:pPr>
        <w:keepNext/>
        <w:keepLines/>
        <w:spacing w:before="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Związek Komunalny Gmin „Czyste Miasto, Czysta Gmina”</w:t>
      </w:r>
    </w:p>
    <w:p w:rsidR="005D75C6" w:rsidRPr="0083185B" w:rsidRDefault="005D75C6" w:rsidP="005D75C6">
      <w:pPr>
        <w:keepNext/>
        <w:keepLines/>
        <w:spacing w:before="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t>Plac Św. Józefa 5</w:t>
      </w: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62 – 800 Kalisz</w:t>
      </w: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Polska</w:t>
      </w:r>
    </w:p>
    <w:p w:rsidR="005D75C6" w:rsidRPr="0083185B" w:rsidRDefault="005D75C6" w:rsidP="005D75C6">
      <w:pPr>
        <w:keepNext/>
        <w:keepLines/>
        <w:numPr>
          <w:ilvl w:val="0"/>
          <w:numId w:val="13"/>
        </w:numPr>
        <w:spacing w:before="60" w:after="180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WYKONAWCA:</w:t>
      </w: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Niniejsza oferta zostaje złożona przez</w:t>
      </w:r>
      <w:r w:rsidRPr="0083185B"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pl-PL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38"/>
        <w:gridCol w:w="2570"/>
      </w:tblGrid>
      <w:tr w:rsidR="005D75C6" w:rsidRPr="0083185B" w:rsidTr="00EC73DF">
        <w:trPr>
          <w:cantSplit/>
        </w:trPr>
        <w:tc>
          <w:tcPr>
            <w:tcW w:w="328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7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1395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5D75C6" w:rsidRPr="0083185B" w:rsidTr="00EC73DF">
        <w:trPr>
          <w:cantSplit/>
        </w:trPr>
        <w:tc>
          <w:tcPr>
            <w:tcW w:w="328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77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rPr>
          <w:cantSplit/>
        </w:trPr>
        <w:tc>
          <w:tcPr>
            <w:tcW w:w="328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77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:rsidR="005D75C6" w:rsidRPr="0083185B" w:rsidRDefault="005D75C6" w:rsidP="005D75C6">
      <w:pPr>
        <w:keepNext/>
        <w:keepLines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5D75C6" w:rsidRPr="0083185B" w:rsidRDefault="005D75C6" w:rsidP="005D75C6">
      <w:pPr>
        <w:keepNext/>
        <w:keepLines/>
        <w:numPr>
          <w:ilvl w:val="0"/>
          <w:numId w:val="13"/>
        </w:numPr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6343"/>
      </w:tblGrid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Nr faksu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:rsidR="005D75C6" w:rsidRPr="0083185B" w:rsidRDefault="005D75C6" w:rsidP="005D75C6">
      <w:pPr>
        <w:keepNext/>
        <w:keepLines/>
        <w:tabs>
          <w:tab w:val="left" w:pos="426"/>
        </w:tabs>
        <w:spacing w:before="60" w:after="18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Uwaga: Wykonawcy zobowiązani są do wypełnienia pustych rubryk w niniejszym Załączniku do Oferty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97"/>
        <w:gridCol w:w="4718"/>
      </w:tblGrid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Pozycja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Klauzule Warunków Kontraktowych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Zapis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Nazwa i adres Zamawiającego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1.1.2.2 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Związek Komunalny Gmin „Czyste Miasto, Czysta Gmina”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Plac Św. Józefa 5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62 – 800 Kalisz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Polska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Nazwa i adres Wykonawcy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1.1.2.3. &amp; 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Nazwa i adres Inżyniera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1.1.2.4 &amp; 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Dane Inżyniera zostaną podane Wykonawcy w dniu podpisania Umowy.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Wsparcie techniczne dla Inżyniera w zakresie funkcji występujących w Rozdziale 3 ustawy Prawo Budowlane (Inspektora Nadzoru Inwestorskiego) oraz (Koordynatora Czynności Inspektorów Nadzoru Inwestorskiego) będzie wykonywał Zespół Inspektora Nadzoru -  zespół osób fizycznych wyłoniony w drodze przetargu publicznego zgodnie z ustawą Prawo zamówień publicznych 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Inspektor Nadzoru Inwestorskiego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1.1.2.4 &amp; 1.1.2.12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W przedmiotowym Kontrakcie czynności Zespołu Inspektora Nadzoru Inwestorskiego pełnić będą: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Pan Krzysztof Kaczmarczyk – Inspektor nadzoru w specjalności konstrukcyjno-budowlanej – Koordynator Czynności Inspektorów Nadzoru Inwestorskiego;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Pan Andrzej Strzelec – Inspektor nadzoru inwestorskiego w specjalności instalacyjnej w zakresie sieci, instalacji i urządzeń elektrycznych i elektroenergetycznych;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Pan Jan Lenartowski – Inspektor nadzoru inwestorskiego w </w:t>
            </w:r>
            <w:r w:rsidRPr="0083185B">
              <w:rPr>
                <w:rFonts w:asciiTheme="minorHAnsi" w:hAnsiTheme="minorHAnsi" w:cstheme="minorHAnsi"/>
                <w:iCs/>
                <w:sz w:val="22"/>
                <w:szCs w:val="22"/>
                <w:lang w:eastAsia="x-none"/>
              </w:rPr>
              <w:t>specjalności instalacyjnej w zakresie sieci, instalacji i urządzeń cieplnych, wentylacyjnych, gazowych, wodociągowych i kanalizacyjnych.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Czas na Wykonanie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1.1.3.3 &amp; 8.2</w:t>
            </w: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tabs>
                <w:tab w:val="left" w:pos="1429"/>
              </w:tabs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ab/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Toc514443240"/>
            <w:bookmarkStart w:id="2" w:name="_Hlk8213385"/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Czas na Wykonanie Robót maksymalnie </w:t>
            </w:r>
            <w:r w:rsidR="00A17CE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102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9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Rozpoczęcia, w tym: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 – Projekt Technologiczny do </w:t>
            </w:r>
            <w:r w:rsidR="00EB7DA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100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II – Prace przedprojektowe, projektowanie,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uzyskanie pozwolenia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na budowę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245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III – Budowa instalacji fermentacji wraz z wiatą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IV – Budowa instalacji biogazu wraz z kogeneracją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 – Budowa boksów magazynowych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 – Budowa sieci elektroenergetycznej wraz ze Stacją Transformatorową TR3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VII – Budowa sieci i infrastruktury technicznej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847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VIII – Budowa układu komunikacyjnego i drogowego oraz terenów zielonych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IX  – Wykończenie i wyposażenie kotłowni w budynku socjalnym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245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bookmarkEnd w:id="1"/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X – Próby Końcowe,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uzyskanie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pozwoleni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na użytkowanie i pozostałe dokumenty minimum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zgłoszenia gotowości przez Wykonawcę;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/>
              <w:jc w:val="both"/>
              <w:outlineLvl w:val="0"/>
              <w:rPr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XI </w:t>
            </w:r>
            <w:r w:rsidR="00F2785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Próby Eksploatacyjne – minimum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182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po wydaniu Świadectwa Przejęcia dla całości Robót, a przed wydaniem Świadectwa Wykonania.</w:t>
            </w:r>
            <w:bookmarkEnd w:id="2"/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Okres Gwarancji Jakości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1.1.3.11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………… miesięcy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Daty wydania Świadectwa Przejęcia dla całości Robót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 Rękojmi za Wady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1.1.3.12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5 lat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Daty wydania Świadectwa Wykonania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Kraj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1.1.6.2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Rzeczpospolita Polska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Komunikaty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Adres korespondencyjny Zamawiającego: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Zakład Unieszkodliwiania Odpadów Komunalnych „Orli Staw” 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Orli Staw 2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62-834 Ceków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fax: +48 (62) 763 56 51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E-mail: </w:t>
            </w:r>
            <w:hyperlink r:id="rId8" w:history="1">
              <w:r w:rsidRPr="0083185B">
                <w:rPr>
                  <w:rFonts w:asciiTheme="minorHAnsi" w:eastAsia="Times New Roman" w:hAnsiTheme="minorHAnsi" w:cstheme="minorHAnsi"/>
                  <w:color w:val="0000FF" w:themeColor="hyperlink"/>
                  <w:sz w:val="22"/>
                  <w:szCs w:val="22"/>
                  <w:u w:val="single"/>
                  <w:lang w:eastAsia="pl-PL"/>
                </w:rPr>
                <w:t>biuro@orlistaw.pl</w:t>
              </w:r>
            </w:hyperlink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Wykonawca: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……………………………………….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……………………………………….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……………………………………….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fax: ….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 …..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Prawo i język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1.4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Prawem Kontraktu jest Prawo Rzeczpospolitej Polskiej.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Językiem Kontraktu jest język polski.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Językiem porozumiewania się jest język polski. 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Prawo dostępu do Terenu Budowy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Zamawiający w terminie do 7 dni od uzyskania prawomocnego i ostatecznego pozwolenia na budowę da Wykonawcy prawo dostępu do wszys</w:t>
            </w:r>
            <w:r w:rsidR="00F2785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tkich części Terenu Budowy i wła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dania.</w:t>
            </w:r>
          </w:p>
        </w:tc>
      </w:tr>
      <w:tr w:rsidR="005D75C6" w:rsidRPr="0083185B" w:rsidTr="00EC73DF">
        <w:trPr>
          <w:trHeight w:val="470"/>
        </w:trPr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Zabezpieczenie Wykonania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4.2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10% </w:t>
            </w:r>
            <w:r w:rsidRPr="0083185B">
              <w:rPr>
                <w:sz w:val="22"/>
                <w:szCs w:val="22"/>
              </w:rPr>
              <w:t>Zatwierdzonej Kwoty Kontraktowej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brutto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Godziny pracy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6.5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Zakład jest eksploatowany w następujących godzinach: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5"/>
              </w:numPr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poniedziałek-piątek 06:00 do 22:00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5"/>
              </w:numPr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(sporadycznie) sobota 06:00 do 14:00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Wykonawca za zgodą Zamawiającego może pracować także poza wyżej wymienionymi godzinami pracy Zakładu. W takich przypadkach Wykonawca będzie zobowiązany pokryć wszelkie koszty z tego wynikające a poniesione przez Zamawiającego związane z wykonywaniem prac lub obowiązków przez osoby trzecie lub pracowników Zamawiającego.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Kary za zwłokę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I, Wykonawca zapłaci Zamawiającemu karę umowną w wysokości 0,1 % Zatwierdzonej Kwoty Kontraktowej netto dla Odcinka I, za każdy rozpoczęty dzień zwłoki, nie więcej niż 30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II, Wykonawca zapłaci Zamawiającemu karę umowną w wysokości 0,1 % Zatwierdzonej Kwoty Kontraktowej netto dla Odcinka II, za każdy rozpoczęty dzień zwłoki, nie więcej niż 30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II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IX, Wykonawca zapłaci Zamawiającemu karę umowną w wysokości 0,3 % Zatwierdzonej Kwoty Kontraktowej netto dla Odcinka IX, za każdy rozpoczęty dzień zwłoki, nie więcej niż 50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IX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odpowiednio Odcinka III, IV, V, VI, VII, VIII, X lub XI, Wykonawca zapłaci Zamawiającemu karę umowną w wysokości 0,05 % Zatwierdzonej Kwoty Kontraktowej netto odpowiednio dla Odcinka III, IV, V, VI, VII, VIII, X lub XI, za każdy rozpoczęty dzień zwłoki, nie więcej niż 25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odpowiednio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III, IV, V, VI, VII, VIII, X lub XI.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usunięciu wad lub usterek stwierdzonych przy odbiorze lub w okresie gwarancyjnym, Wykonawca zapłaci Zamawiającemu karę umowną w wysokości 0,03 % Zatwierdzonej Kwoty Kontraktowej netto, za każdy rozpoczęty dzień zwłoki, nie więcej niż 20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nieprzedłożenia do zaakceptowania projektu umowy o podwykonawstwo, o której mowa w punkcie 8) Klauzuli 4.4 [Podwykonawcy] lub jej zmiany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nieprzedłożenia poświadczonej za zgodność z oryginałem kopii umowy o podwykonawstwo lub jej zmiany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W przypadku nieterminowej zapłaty wynagrodzenia należnego podwykonawcy lub dalszemu podwykonawcy Wykonawca zapłaci Zamawiającemu karę umowną w wysokości 1.000,00 zł, za każdy rozpoczęty dzień zwłoki, nie więcej niż 10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danego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, w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ramach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którego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Wykonawca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powierzył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do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część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zamówienia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Podwykonawcy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konieczności wypłaty przez Zamawiającego wynagrodzenia należnego Podwykonawcy lub dalszemu Podwykonawcy z uwagi na brak zapłaty przez Wykonawcę, Wykonawca zapłaci Zamawiającemu karę umowną w wysokości 20 % dokonanej przez Zamawiającego płatności na rzecz Podwykonawcy lub dalszego Podwykonawcy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braku zmiany umowy o podwykonawstwo w zakresie wymaganego terminu zapłaty określonego w literze e) punktu 8) Klauzuli 4.4 [Podwykonawcy]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stwierdzenia przez Zamawiającego lub jego przedstawicieli lub Państwową Inspekcję Pracy braku spełnienia wymogu, o którym mowa w klauzuli 6.1. Warunków Kontraktowych Wykonawca zapłaci Zamawiającemu karę umowną w wysokości 2.000,00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Za niezłożenie przez Wykonawcę w wyznaczonym przez Zamawiającego terminie dowodów, o których mowa w klauzuli 6.2 Warunków Kontraktowych Wykonawca zapłaci Zamawiającemu karę umowną w wysokości 2.000,00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Za nieudostępnienie Dziennika budowy Zespołowi Inspektora Nadzoru lub Zamawiającemu do wglądu lub w celu dokonania wpisów Wykonawca zapłaci Zamawiającemu karę umowną w wysokości 500,00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W przypadku nie przedstawienia przez Wykonawcę Zamawiającemu odnowionej i ważnej i opłaconej polisy OC w terminie nie późniejszym niż 7 dni przed dniem wygaśnięcia przedmiotowej polisy OC bądź </w:t>
            </w:r>
            <w:r w:rsidRPr="0083185B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pl-PL"/>
              </w:rPr>
              <w:t>Karty na bazie ubezpieczeń budowlano-montażowych (CAR/EAR)</w:t>
            </w: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Wykonawca zapłaci każdorazowo Zamawiającemu karę umowną w wysokości 0,05% Zatwierdzonej Kwoty Kontraktowej netto</w:t>
            </w:r>
            <w:r w:rsidRPr="0083185B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si-LK"/>
              </w:rPr>
              <w:t xml:space="preserve">W przypadku odstąpienia przez Zamawiającego od Umowy z przyczyn leżących po stronie Wykonawcy, Wykonawca zapłaci Zamawiającemu karę umowną w wysokości </w:t>
            </w: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20 % Zatwierdzonej Kwoty Kontraktowej netto. </w:t>
            </w:r>
          </w:p>
          <w:p w:rsidR="005D75C6" w:rsidRPr="0083185B" w:rsidRDefault="005D75C6" w:rsidP="00EC73DF">
            <w:pPr>
              <w:keepNext/>
              <w:keepLines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Maksymalna łączna kwota kary za zwłokę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20 % Zatwierdzonej Kwoty Kontraktowej netto.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Termin płatności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14.7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30 dni od daty otrzymania przez Zamawiającego kompletu dokumentów uzasadniających żądanie zapłaty, w tym prawidłowo wystawionej faktury Wykonawcy.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Okresy obowiązywania polis ubezpieczenia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8"/>
              </w:numPr>
              <w:spacing w:before="60" w:after="180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zakresie </w:t>
            </w:r>
            <w:r w:rsidRPr="0083185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Karty na bazie ubezpieczeń budowlano-montażowych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– okres od Daty Rozpoczęcia Robót budowlanych do upływu Czasu na Wykonanie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8"/>
              </w:numPr>
              <w:spacing w:before="60" w:after="180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zakresie odpowiedzialności cywilnej – okres od Daty Rozpoczęcia do upływu Czasu na Wykonanie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Okresy na przedłożenie dowodów ubezpieczenia odnośnie polis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9"/>
              </w:numPr>
              <w:spacing w:after="0" w:line="276" w:lineRule="auto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zakresie </w:t>
            </w:r>
            <w:r w:rsidRPr="0083185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Karty na bazie ubezpieczeń budowlano-montażowych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1"/>
                <w:numId w:val="12"/>
              </w:numPr>
              <w:tabs>
                <w:tab w:val="clear" w:pos="3420"/>
              </w:tabs>
              <w:spacing w:after="0" w:line="276" w:lineRule="auto"/>
              <w:ind w:left="533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 7 dni przed planowanym przekazaniem Terenu Budowy Wykonawcy,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1"/>
                <w:numId w:val="12"/>
              </w:numPr>
              <w:tabs>
                <w:tab w:val="clear" w:pos="3420"/>
              </w:tabs>
              <w:spacing w:after="0" w:line="276" w:lineRule="auto"/>
              <w:ind w:left="533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każdorazowo na 7 dni przed wygaśnięciem przedmiotowej polisy ubezpieczenia – jeśli będzie dotyczyło; 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9"/>
              </w:numPr>
              <w:spacing w:after="0" w:line="276" w:lineRule="auto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zakresie odpowiedzialności cywilnej: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0" w:line="276" w:lineRule="auto"/>
              <w:ind w:left="53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najpóźniej w dniu zawarcia Umowy,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0" w:line="276" w:lineRule="auto"/>
              <w:ind w:left="53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każdorazowo na 7 dni przed wygaśnięciem przedmiotowej polisy ubezpieczenia.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Minimalna kwota Ubezpieczenia – </w:t>
            </w:r>
            <w:r w:rsidRPr="0083185B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Karty na bazie ubezpieczeń budowlano-montażowych </w:t>
            </w:r>
            <w:r w:rsidRPr="0083185B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pl-PL"/>
              </w:rPr>
              <w:t>(CAR/EAR)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wysokości Zatwierdzonej Kwoty Kontraktowej netto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Minimalna kwota ubezpieczenia od odpowiedzialności cywilnej (deliktowej i kontraktowej) w zakresie prowadzonej działalności związanej z przedmiotem zamówienia 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 kwotę: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32.000.000,00 PLN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 xml:space="preserve">(słownie: trzydzieści dwa miliony złotych)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na jedno i wszystkie zdarzenia.</w:t>
            </w:r>
          </w:p>
        </w:tc>
      </w:tr>
    </w:tbl>
    <w:p w:rsidR="005D75C6" w:rsidRPr="00855E9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Podpis(y):</w:t>
      </w:r>
    </w:p>
    <w:tbl>
      <w:tblPr>
        <w:tblW w:w="98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906"/>
        <w:gridCol w:w="2976"/>
        <w:gridCol w:w="1620"/>
      </w:tblGrid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Kwalifikowany(e) podpis(y) elektroniczny(e) osoby(osób) upoważnionej(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Miejscowość</w:t>
            </w: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B57449" w:rsidRDefault="00B57449"/>
    <w:sectPr w:rsidR="00B5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C6" w:rsidRDefault="005D75C6" w:rsidP="005D75C6">
      <w:r>
        <w:separator/>
      </w:r>
    </w:p>
  </w:endnote>
  <w:endnote w:type="continuationSeparator" w:id="0">
    <w:p w:rsidR="005D75C6" w:rsidRDefault="005D75C6" w:rsidP="005D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C6" w:rsidRDefault="005D75C6" w:rsidP="005D75C6">
      <w:r>
        <w:separator/>
      </w:r>
    </w:p>
  </w:footnote>
  <w:footnote w:type="continuationSeparator" w:id="0">
    <w:p w:rsidR="005D75C6" w:rsidRDefault="005D75C6" w:rsidP="005D75C6">
      <w:r>
        <w:continuationSeparator/>
      </w:r>
    </w:p>
  </w:footnote>
  <w:footnote w:id="1">
    <w:p w:rsidR="005D75C6" w:rsidRDefault="005D75C6" w:rsidP="005D75C6">
      <w:pPr>
        <w:pStyle w:val="Tekstprzypisudolnego"/>
      </w:pPr>
      <w:r>
        <w:rPr>
          <w:rStyle w:val="Odwoanieprzypisudolnego"/>
        </w:rPr>
        <w:footnoteRef/>
      </w:r>
      <w:r w:rsidRPr="008968FB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854207F"/>
    <w:multiLevelType w:val="hybridMultilevel"/>
    <w:tmpl w:val="CCCE8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74574"/>
    <w:multiLevelType w:val="hybridMultilevel"/>
    <w:tmpl w:val="1A9C2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022BCDA">
      <w:start w:val="1"/>
      <w:numFmt w:val="decimal"/>
      <w:lvlText w:val="%3)"/>
      <w:lvlJc w:val="left"/>
      <w:pPr>
        <w:ind w:left="2160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362AA"/>
    <w:multiLevelType w:val="hybridMultilevel"/>
    <w:tmpl w:val="10784332"/>
    <w:lvl w:ilvl="0" w:tplc="449439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065C"/>
    <w:multiLevelType w:val="hybridMultilevel"/>
    <w:tmpl w:val="0504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83CF7"/>
    <w:multiLevelType w:val="hybridMultilevel"/>
    <w:tmpl w:val="1E261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6AB"/>
    <w:multiLevelType w:val="hybridMultilevel"/>
    <w:tmpl w:val="72BAC7C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A3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C1AAE"/>
    <w:multiLevelType w:val="hybridMultilevel"/>
    <w:tmpl w:val="8D1E5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A34B1D"/>
    <w:multiLevelType w:val="hybridMultilevel"/>
    <w:tmpl w:val="DAD60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304BF8"/>
    <w:multiLevelType w:val="hybridMultilevel"/>
    <w:tmpl w:val="5882CD52"/>
    <w:lvl w:ilvl="0" w:tplc="7728B1C2">
      <w:start w:val="1"/>
      <w:numFmt w:val="decimal"/>
      <w:lvlText w:val="%1."/>
      <w:lvlJc w:val="left"/>
      <w:pPr>
        <w:ind w:left="1001" w:hanging="284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</w:rPr>
    </w:lvl>
    <w:lvl w:ilvl="1" w:tplc="277C3D5A">
      <w:numFmt w:val="bullet"/>
      <w:lvlText w:val="•"/>
      <w:lvlJc w:val="left"/>
      <w:pPr>
        <w:ind w:left="1962" w:hanging="284"/>
      </w:pPr>
    </w:lvl>
    <w:lvl w:ilvl="2" w:tplc="3144615C">
      <w:numFmt w:val="bullet"/>
      <w:lvlText w:val="•"/>
      <w:lvlJc w:val="left"/>
      <w:pPr>
        <w:ind w:left="2925" w:hanging="284"/>
      </w:pPr>
    </w:lvl>
    <w:lvl w:ilvl="3" w:tplc="8558093C">
      <w:numFmt w:val="bullet"/>
      <w:lvlText w:val="•"/>
      <w:lvlJc w:val="left"/>
      <w:pPr>
        <w:ind w:left="3887" w:hanging="284"/>
      </w:pPr>
    </w:lvl>
    <w:lvl w:ilvl="4" w:tplc="8D0207FC">
      <w:numFmt w:val="bullet"/>
      <w:lvlText w:val="•"/>
      <w:lvlJc w:val="left"/>
      <w:pPr>
        <w:ind w:left="4850" w:hanging="284"/>
      </w:pPr>
    </w:lvl>
    <w:lvl w:ilvl="5" w:tplc="A63A6D2E">
      <w:numFmt w:val="bullet"/>
      <w:lvlText w:val="•"/>
      <w:lvlJc w:val="left"/>
      <w:pPr>
        <w:ind w:left="5813" w:hanging="284"/>
      </w:pPr>
    </w:lvl>
    <w:lvl w:ilvl="6" w:tplc="0272438A">
      <w:numFmt w:val="bullet"/>
      <w:lvlText w:val="•"/>
      <w:lvlJc w:val="left"/>
      <w:pPr>
        <w:ind w:left="6775" w:hanging="284"/>
      </w:pPr>
    </w:lvl>
    <w:lvl w:ilvl="7" w:tplc="7A80FAB4">
      <w:numFmt w:val="bullet"/>
      <w:lvlText w:val="•"/>
      <w:lvlJc w:val="left"/>
      <w:pPr>
        <w:ind w:left="7738" w:hanging="284"/>
      </w:pPr>
    </w:lvl>
    <w:lvl w:ilvl="8" w:tplc="75C45DE8">
      <w:numFmt w:val="bullet"/>
      <w:lvlText w:val="•"/>
      <w:lvlJc w:val="left"/>
      <w:pPr>
        <w:ind w:left="8701" w:hanging="284"/>
      </w:pPr>
    </w:lvl>
  </w:abstractNum>
  <w:abstractNum w:abstractNumId="11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0"/>
  </w:num>
  <w:num w:numId="5">
    <w:abstractNumId w:val="11"/>
  </w:num>
  <w:num w:numId="6">
    <w:abstractNumId w:val="11"/>
  </w:num>
  <w:num w:numId="7">
    <w:abstractNumId w:val="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6"/>
  </w:num>
  <w:num w:numId="13">
    <w:abstractNumId w:val="3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C6"/>
    <w:rsid w:val="00424E1A"/>
    <w:rsid w:val="005D75C6"/>
    <w:rsid w:val="006D54CF"/>
    <w:rsid w:val="00A17CE1"/>
    <w:rsid w:val="00B57449"/>
    <w:rsid w:val="00BB10CA"/>
    <w:rsid w:val="00DD318E"/>
    <w:rsid w:val="00E97A7A"/>
    <w:rsid w:val="00EB7DA4"/>
    <w:rsid w:val="00F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C6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5D75C6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5D75C6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5D75C6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5D75C6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5D75C6"/>
    <w:rPr>
      <w:rFonts w:ascii="Arial" w:eastAsiaTheme="minorHAnsi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C6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5D75C6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5D75C6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5D75C6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5D75C6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5D75C6"/>
    <w:rPr>
      <w:rFonts w:ascii="Arial" w:eastAsiaTheme="minorHAns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rlist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Anna Macke</cp:lastModifiedBy>
  <cp:revision>3</cp:revision>
  <dcterms:created xsi:type="dcterms:W3CDTF">2019-11-29T12:54:00Z</dcterms:created>
  <dcterms:modified xsi:type="dcterms:W3CDTF">2019-12-02T12:09:00Z</dcterms:modified>
</cp:coreProperties>
</file>