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ACC" w:rsidRPr="002C65DA" w:rsidRDefault="00703AC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AEE" w:rsidRPr="002C65DA" w:rsidRDefault="009E1E10" w:rsidP="00BC21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5DA">
        <w:rPr>
          <w:rFonts w:ascii="Times New Roman" w:hAnsi="Times New Roman" w:cs="Times New Roman"/>
        </w:rPr>
        <w:t xml:space="preserve">Poznań, dnia </w:t>
      </w:r>
      <w:r w:rsidR="00F40243" w:rsidRPr="002C65DA">
        <w:rPr>
          <w:rFonts w:ascii="Times New Roman" w:hAnsi="Times New Roman" w:cs="Times New Roman"/>
        </w:rPr>
        <w:t>0</w:t>
      </w:r>
      <w:r w:rsidR="00401150" w:rsidRPr="002C65DA">
        <w:rPr>
          <w:rFonts w:ascii="Times New Roman" w:hAnsi="Times New Roman" w:cs="Times New Roman"/>
        </w:rPr>
        <w:t>8</w:t>
      </w:r>
      <w:r w:rsidR="00F40243" w:rsidRPr="002C65DA">
        <w:rPr>
          <w:rFonts w:ascii="Times New Roman" w:hAnsi="Times New Roman" w:cs="Times New Roman"/>
        </w:rPr>
        <w:t>.07.2021</w:t>
      </w:r>
    </w:p>
    <w:p w:rsidR="00D71E7C" w:rsidRPr="002C65DA" w:rsidRDefault="00F40243" w:rsidP="00BC21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5DA">
        <w:rPr>
          <w:rFonts w:ascii="Times New Roman" w:hAnsi="Times New Roman" w:cs="Times New Roman"/>
        </w:rPr>
        <w:t>EZ/350/25</w:t>
      </w:r>
      <w:r w:rsidR="00D71E7C" w:rsidRPr="002C65DA">
        <w:rPr>
          <w:rFonts w:ascii="Times New Roman" w:hAnsi="Times New Roman" w:cs="Times New Roman"/>
        </w:rPr>
        <w:t>/2020/</w:t>
      </w:r>
      <w:r w:rsidRPr="002C65DA">
        <w:rPr>
          <w:rFonts w:ascii="Times New Roman" w:hAnsi="Times New Roman" w:cs="Times New Roman"/>
        </w:rPr>
        <w:t>…</w:t>
      </w:r>
      <w:r w:rsidR="002A0CA4">
        <w:rPr>
          <w:rFonts w:ascii="Times New Roman" w:hAnsi="Times New Roman" w:cs="Times New Roman"/>
        </w:rPr>
        <w:t>462</w:t>
      </w:r>
      <w:bookmarkStart w:id="0" w:name="_GoBack"/>
      <w:bookmarkEnd w:id="0"/>
      <w:r w:rsidRPr="002C65DA">
        <w:rPr>
          <w:rFonts w:ascii="Times New Roman" w:hAnsi="Times New Roman" w:cs="Times New Roman"/>
        </w:rPr>
        <w:t>….</w:t>
      </w:r>
    </w:p>
    <w:p w:rsidR="00D71E7C" w:rsidRPr="002C65DA" w:rsidRDefault="00D71E7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71C" w:rsidRPr="002C65DA" w:rsidRDefault="003E671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71C" w:rsidRPr="002C65DA" w:rsidRDefault="003E671C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E7C" w:rsidRPr="002C65DA" w:rsidRDefault="00D71E7C" w:rsidP="00BC21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5DA">
        <w:rPr>
          <w:rFonts w:ascii="Times New Roman" w:hAnsi="Times New Roman" w:cs="Times New Roman"/>
        </w:rPr>
        <w:t>Wg rozdzielnika</w:t>
      </w:r>
      <w:r w:rsidR="00EA6F68" w:rsidRPr="002C65DA">
        <w:rPr>
          <w:rFonts w:ascii="Times New Roman" w:hAnsi="Times New Roman" w:cs="Times New Roman"/>
        </w:rPr>
        <w:t xml:space="preserve"> - d</w:t>
      </w:r>
      <w:r w:rsidRPr="002C65DA">
        <w:rPr>
          <w:rFonts w:ascii="Times New Roman" w:hAnsi="Times New Roman" w:cs="Times New Roman"/>
        </w:rPr>
        <w:t>o wszystkich uczestników i zainteresowanych</w:t>
      </w:r>
    </w:p>
    <w:p w:rsidR="00D71E7C" w:rsidRPr="002C65DA" w:rsidRDefault="00D71E7C" w:rsidP="00BC21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5DA">
        <w:rPr>
          <w:rFonts w:ascii="Times New Roman" w:hAnsi="Times New Roman" w:cs="Times New Roman"/>
          <w:u w:val="single"/>
        </w:rPr>
        <w:t>Dotycz</w:t>
      </w:r>
      <w:r w:rsidR="00703ACC" w:rsidRPr="002C65DA">
        <w:rPr>
          <w:rFonts w:ascii="Times New Roman" w:hAnsi="Times New Roman" w:cs="Times New Roman"/>
          <w:u w:val="single"/>
        </w:rPr>
        <w:t xml:space="preserve">y: </w:t>
      </w:r>
      <w:r w:rsidR="00F40243" w:rsidRPr="002C65DA">
        <w:rPr>
          <w:rFonts w:ascii="Times New Roman" w:hAnsi="Times New Roman" w:cs="Times New Roman"/>
        </w:rPr>
        <w:t>Zakup i dostawa sprzętu medycznego niesterylnego- tryb podstawowy 25/2021</w:t>
      </w:r>
    </w:p>
    <w:p w:rsidR="00C5015A" w:rsidRPr="002C65DA" w:rsidRDefault="00C5015A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9A2" w:rsidRPr="002C65DA" w:rsidRDefault="004559A2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9A2" w:rsidRPr="002C65DA" w:rsidRDefault="004559A2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E7C" w:rsidRPr="002C65DA" w:rsidRDefault="00D71E7C" w:rsidP="00455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5DA">
        <w:rPr>
          <w:rFonts w:ascii="Times New Roman" w:hAnsi="Times New Roman" w:cs="Times New Roman"/>
        </w:rPr>
        <w:t xml:space="preserve">    Wielkopolskie Centrum Onkologii udziela odpowiedzi na pytania do SWZ w przedmiotowym postepowaniu: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color w:val="00000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C65DA">
        <w:rPr>
          <w:rFonts w:ascii="Times New Roman" w:eastAsia="Calibri" w:hAnsi="Times New Roman" w:cs="Times New Roman"/>
          <w:bCs/>
          <w:color w:val="00000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A) Zdanie nr 6, pozycja nr 1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88" w:lineRule="auto"/>
        <w:jc w:val="both"/>
        <w:rPr>
          <w:rFonts w:ascii="Times New Roman" w:eastAsia="Helvetica" w:hAnsi="Times New Roman" w:cs="Times New Roman"/>
          <w:bCs/>
          <w:color w:val="000000"/>
          <w:u w:val="single"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val="single"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W ramach zwiększenia konkurencyjności ofert, prosimy Zamawiającego o dopuszczenie produktu na zasadzie równoważności ofert: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88" w:lineRule="auto"/>
        <w:jc w:val="both"/>
        <w:rPr>
          <w:rFonts w:ascii="Times New Roman" w:eastAsia="Helvetica" w:hAnsi="Times New Roman" w:cs="Times New Roman"/>
          <w:bCs/>
          <w:color w:val="000000"/>
          <w:u w:val="single"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Kołderka grzewcza na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cał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e cia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ło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pacjenta dorosłego. Wymiary 203 cm x 91 cm +/- 1cm, do użytku u jednego pacjenta.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Bezlateksowa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dwuwarstwowa kołderka, wykonana z materiału nietkanego oraz folii, dwukolorowa kołderka, pozwalająca na szybką orientację,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ra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powierzchnia bezpośrednio okrywa ciało pacjenta. </w:t>
      </w:r>
      <w:proofErr w:type="gram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Nie posiadająca</w:t>
      </w:r>
      <w:proofErr w:type="gram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perforacji, r</w:t>
      </w: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wnomierny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przepływ powietrza zapewniony przez całą powierzchnię kołderki. Konstrukcja kołderki zapewniająca dodatkowe filtrowanie nadmuchiwanego powietrza, system mocowania do węża urządzenia grzewczego za pomocą idealnie dopasowanego, rozkładanego adaptera. Kołderki współpracujące z urządzeniami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Bair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Hugger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model 775,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WarmAir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® oraz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Thermacare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bez konieczności stosowania jakichkolwiek adapter</w:t>
      </w: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w, czy osprzętu podłączeniowego - wymagany dokument potwierdzający ten fakt, wystawiony przez producenta urządzenia grzewczego.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Helvetica" w:hAnsi="Times New Roman" w:cs="Times New Roman"/>
          <w:bCs/>
          <w:color w:val="FF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FF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Odp. Tak, dopuści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right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color w:val="00000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 w:rsidRPr="002C65DA">
        <w:rPr>
          <w:rFonts w:ascii="Times New Roman" w:eastAsia="Calibri" w:hAnsi="Times New Roman" w:cs="Times New Roman"/>
          <w:bCs/>
          <w:color w:val="00000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) Zdanie nr 6, pozycja nr 1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88" w:lineRule="auto"/>
        <w:jc w:val="both"/>
        <w:rPr>
          <w:rFonts w:ascii="Times New Roman" w:eastAsia="Helvetica" w:hAnsi="Times New Roman" w:cs="Times New Roman"/>
          <w:bCs/>
          <w:color w:val="000000"/>
          <w:u w:val="single"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val="single"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W ramach zwiększenia konkurencyjności ofert, prosimy Zamawiającego o dopuszczenie produktu na zasadzie równoważności ofert: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Kołderka grzewcza na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cał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e cia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ło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pacjenta dorosłego: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i/>
          <w:i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i/>
          <w:i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- wymiary 127cm x 233.7</w:t>
      </w:r>
      <w:proofErr w:type="gramStart"/>
      <w:r w:rsidRPr="002C65DA">
        <w:rPr>
          <w:rFonts w:ascii="Times New Roman" w:eastAsia="Helvetica" w:hAnsi="Times New Roman" w:cs="Times New Roman"/>
          <w:bCs/>
          <w:i/>
          <w:i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cm</w:t>
      </w:r>
      <w:proofErr w:type="gramEnd"/>
      <w:r w:rsidRPr="002C65DA">
        <w:rPr>
          <w:rFonts w:ascii="Times New Roman" w:eastAsia="Helvetica" w:hAnsi="Times New Roman" w:cs="Times New Roman"/>
          <w:bCs/>
          <w:i/>
          <w:i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(+/-2%)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- do użytku u jednego pacjenta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bezlateksowe</w:t>
      </w:r>
      <w:proofErr w:type="spellEnd"/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ru-RU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 warstwowe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- wykonane z materiału nietkanego oraz folii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- bez perforacji 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- r</w:t>
      </w: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wnomierny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przepływ powietrza zapewniony przez całą powierzchnię kołderki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- przystosowane do pracy z Kołderka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grzewczaami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nisko przepływowymi o maksymalnych wartościach przepływu powietrza: 980 l/min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- konstrukcja kołderki zapewniająca dodatkowe (obok filtra wbudowanego w urządzenie) filtrowanie nadmuchiwanego powietrza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- system mocowania do węża urządzenia grzewczego za pomocą idealnie dopasowanego, rozkładanego adaptera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- współpracujące z urządzeniami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Bair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Hugger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model 775,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WarmAir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oraz </w:t>
      </w:r>
      <w:proofErr w:type="spellStart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Thermacare</w:t>
      </w:r>
      <w:proofErr w:type="spellEnd"/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bez konieczności stosowania jakichkolwiek adapter</w:t>
      </w: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C65DA">
        <w:rPr>
          <w:rFonts w:ascii="Times New Roman" w:eastAsia="Helvetica" w:hAnsi="Times New Roman" w:cs="Times New Roman"/>
          <w:bCs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w, czy osprzętu podłączeniowego</w:t>
      </w:r>
    </w:p>
    <w:p w:rsidR="002C65DA" w:rsidRPr="002C65DA" w:rsidRDefault="002C65DA" w:rsidP="002C65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Helvetica" w:hAnsi="Times New Roman" w:cs="Times New Roman"/>
          <w:color w:val="FF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C65DA">
        <w:rPr>
          <w:rFonts w:ascii="Times New Roman" w:eastAsia="Helvetica" w:hAnsi="Times New Roman" w:cs="Times New Roman"/>
          <w:bCs/>
          <w:color w:val="FF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Odp. Nie, nie dopuści. Wymiary kołderki są zbyt duże</w:t>
      </w:r>
    </w:p>
    <w:p w:rsidR="00401150" w:rsidRPr="002C65DA" w:rsidRDefault="00401150" w:rsidP="0040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243" w:rsidRPr="002C65DA" w:rsidRDefault="00F40243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F68" w:rsidRPr="002C65DA" w:rsidRDefault="00EA6F68" w:rsidP="00BC21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5DA">
        <w:rPr>
          <w:rFonts w:ascii="Times New Roman" w:hAnsi="Times New Roman" w:cs="Times New Roman"/>
        </w:rPr>
        <w:t>Z poważaniem,</w:t>
      </w:r>
    </w:p>
    <w:p w:rsidR="00EA6F68" w:rsidRPr="002C65DA" w:rsidRDefault="00EA6F68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F68" w:rsidRPr="002C65DA" w:rsidRDefault="00EA6F68" w:rsidP="00BC215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A6F68" w:rsidRPr="002C65DA" w:rsidSect="00703ACC">
      <w:footerReference w:type="default" r:id="rId7"/>
      <w:pgSz w:w="11906" w:h="16838"/>
      <w:pgMar w:top="1560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 xml:space="preserve">Opracował: Dział zamówień publicznych i zaopatrzenia, </w:t>
    </w:r>
    <w:r w:rsidR="00BC2151">
      <w:rPr>
        <w:vertAlign w:val="subscript"/>
      </w:rPr>
      <w:t>Sylwia Krzywiak</w:t>
    </w:r>
    <w:r w:rsidRPr="00EA6F68">
      <w:rPr>
        <w:vertAlign w:val="subscript"/>
      </w:rPr>
      <w:t xml:space="preserve"> tel. 61/ 88 50 643 fax …698 zaopatrzenie@wco.</w:t>
    </w:r>
    <w:proofErr w:type="gramStart"/>
    <w:r w:rsidRPr="00EA6F68">
      <w:rPr>
        <w:vertAlign w:val="subscript"/>
      </w:rPr>
      <w:t>pl</w:t>
    </w:r>
    <w:proofErr w:type="gramEnd"/>
    <w:r w:rsidRPr="00EA6F68">
      <w:rPr>
        <w:vertAlign w:val="subscript"/>
      </w:rPr>
      <w:t xml:space="preserve">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873B2"/>
    <w:rsid w:val="00117830"/>
    <w:rsid w:val="00150BD4"/>
    <w:rsid w:val="00202414"/>
    <w:rsid w:val="002A0CA4"/>
    <w:rsid w:val="002C65DA"/>
    <w:rsid w:val="003E671C"/>
    <w:rsid w:val="00401150"/>
    <w:rsid w:val="004559A2"/>
    <w:rsid w:val="005717D7"/>
    <w:rsid w:val="006401F4"/>
    <w:rsid w:val="00703ACC"/>
    <w:rsid w:val="007301AD"/>
    <w:rsid w:val="00970D05"/>
    <w:rsid w:val="009E1E10"/>
    <w:rsid w:val="00A106D5"/>
    <w:rsid w:val="00A56B91"/>
    <w:rsid w:val="00AC0E19"/>
    <w:rsid w:val="00B706BA"/>
    <w:rsid w:val="00BB7A0B"/>
    <w:rsid w:val="00BC2151"/>
    <w:rsid w:val="00C26A5A"/>
    <w:rsid w:val="00C5015A"/>
    <w:rsid w:val="00D71E7C"/>
    <w:rsid w:val="00DA143E"/>
    <w:rsid w:val="00E45058"/>
    <w:rsid w:val="00EA6F68"/>
    <w:rsid w:val="00ED7AEE"/>
    <w:rsid w:val="00F40243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basedOn w:val="Normalny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C215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830"/>
    <w:rPr>
      <w:rFonts w:ascii="Segoe UI" w:hAnsi="Segoe UI" w:cs="Segoe UI"/>
      <w:sz w:val="18"/>
      <w:szCs w:val="18"/>
    </w:rPr>
  </w:style>
  <w:style w:type="character" w:customStyle="1" w:styleId="Stylwiadomocie-mail26">
    <w:name w:val="Styl wiadomości e-mail 26"/>
    <w:semiHidden/>
    <w:rsid w:val="00F40243"/>
    <w:rPr>
      <w:rFonts w:ascii="Arial" w:hAnsi="Arial" w:cs="Arial"/>
      <w:color w:val="000080"/>
      <w:sz w:val="20"/>
      <w:szCs w:val="20"/>
    </w:rPr>
  </w:style>
  <w:style w:type="paragraph" w:styleId="Bezodstpw">
    <w:name w:val="No Spacing"/>
    <w:uiPriority w:val="99"/>
    <w:qFormat/>
    <w:rsid w:val="00F402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2</cp:revision>
  <cp:lastPrinted>2021-07-02T08:38:00Z</cp:lastPrinted>
  <dcterms:created xsi:type="dcterms:W3CDTF">2021-07-23T11:45:00Z</dcterms:created>
  <dcterms:modified xsi:type="dcterms:W3CDTF">2021-07-23T11:45:00Z</dcterms:modified>
</cp:coreProperties>
</file>