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4B49322D"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8E2E08">
        <w:rPr>
          <w:rFonts w:cs="Calibri"/>
        </w:rPr>
        <w:t>30.12</w:t>
      </w:r>
      <w:r>
        <w:rPr>
          <w:rFonts w:cs="Calibri"/>
        </w:rPr>
        <w:t>.2021 r.</w:t>
      </w:r>
      <w:r>
        <w:rPr>
          <w:rFonts w:cs="Calibri"/>
        </w:rPr>
        <w:tab/>
      </w:r>
    </w:p>
    <w:p w14:paraId="734BEFF2" w14:textId="6199F953" w:rsidR="000F1311" w:rsidRDefault="000F1311" w:rsidP="000F1311">
      <w:pPr>
        <w:spacing w:line="276" w:lineRule="auto"/>
        <w:jc w:val="both"/>
        <w:rPr>
          <w:rFonts w:cs="Calibri"/>
        </w:rPr>
      </w:pPr>
      <w:r>
        <w:rPr>
          <w:rFonts w:cs="Calibri"/>
          <w:b/>
          <w:bCs/>
        </w:rPr>
        <w:t>KZP-271-TP-1</w:t>
      </w:r>
      <w:r w:rsidR="008E2E08">
        <w:rPr>
          <w:rFonts w:cs="Calibri"/>
          <w:b/>
          <w:bCs/>
        </w:rPr>
        <w:t>2</w:t>
      </w:r>
      <w:r>
        <w:rPr>
          <w:rFonts w:cs="Calibri"/>
          <w:b/>
          <w:bCs/>
        </w:rPr>
        <w:t>/2021</w:t>
      </w:r>
    </w:p>
    <w:p w14:paraId="4340FEC4" w14:textId="77777777" w:rsidR="000F1311" w:rsidRDefault="000F1311" w:rsidP="000F1311">
      <w:pPr>
        <w:spacing w:line="276" w:lineRule="auto"/>
        <w:ind w:left="4251" w:firstLine="705"/>
        <w:jc w:val="both"/>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2EBBF596"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8E2E08" w:rsidRPr="008E2E08">
        <w:rPr>
          <w:rFonts w:asciiTheme="minorHAnsi" w:hAnsiTheme="minorHAnsi" w:cstheme="minorHAnsi"/>
          <w:b/>
        </w:rPr>
        <w:t>Regeneracja zaworów regulacyjnych kulowych oraz regeneracja schładzaczy pary znajdujących się w Zakładzie Termicznego Przekształcania Odpadów w Krakowie</w:t>
      </w:r>
      <w:r w:rsidR="008E2E08">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8E2E08">
        <w:rPr>
          <w:rFonts w:asciiTheme="minorHAnsi" w:eastAsia="SimSun" w:hAnsiTheme="minorHAnsi" w:cstheme="minorHAnsi"/>
          <w:kern w:val="2"/>
          <w:lang w:eastAsia="hi-IN" w:bidi="hi-IN"/>
        </w:rPr>
        <w:t>30.12</w:t>
      </w:r>
      <w:r w:rsidRPr="00E3579F">
        <w:rPr>
          <w:rFonts w:asciiTheme="minorHAnsi" w:eastAsia="SimSun" w:hAnsiTheme="minorHAnsi" w:cstheme="minorHAnsi"/>
          <w:kern w:val="2"/>
          <w:lang w:eastAsia="hi-IN" w:bidi="hi-IN"/>
        </w:rPr>
        <w:t>.2021 r. do godz. 9:00 wpłynęł</w:t>
      </w:r>
      <w:r w:rsidR="008E2E08">
        <w:rPr>
          <w:rFonts w:asciiTheme="minorHAnsi" w:eastAsia="SimSun" w:hAnsiTheme="minorHAnsi" w:cstheme="minorHAnsi"/>
          <w:kern w:val="2"/>
          <w:lang w:eastAsia="hi-IN" w:bidi="hi-IN"/>
        </w:rPr>
        <w:t>a</w:t>
      </w:r>
      <w:r w:rsidR="00C60704">
        <w:rPr>
          <w:rFonts w:asciiTheme="minorHAnsi" w:eastAsia="SimSun" w:hAnsiTheme="minorHAnsi" w:cstheme="minorHAnsi"/>
          <w:kern w:val="2"/>
          <w:lang w:eastAsia="hi-IN" w:bidi="hi-IN"/>
        </w:rPr>
        <w:t xml:space="preserve"> </w:t>
      </w:r>
      <w:r w:rsidR="008E2E08">
        <w:rPr>
          <w:rFonts w:asciiTheme="minorHAnsi" w:eastAsia="SimSun" w:hAnsiTheme="minorHAnsi" w:cstheme="minorHAnsi"/>
          <w:kern w:val="2"/>
          <w:lang w:eastAsia="hi-IN" w:bidi="hi-IN"/>
        </w:rPr>
        <w:t>1</w:t>
      </w:r>
      <w:r w:rsidRPr="00E3579F">
        <w:rPr>
          <w:rFonts w:asciiTheme="minorHAnsi" w:eastAsia="SimSun" w:hAnsiTheme="minorHAnsi" w:cstheme="minorHAnsi"/>
          <w:kern w:val="2"/>
          <w:lang w:eastAsia="hi-IN" w:bidi="hi-IN"/>
        </w:rPr>
        <w:t xml:space="preserve"> ofert</w:t>
      </w:r>
      <w:r w:rsidR="008E2E08">
        <w:rPr>
          <w:rFonts w:asciiTheme="minorHAnsi" w:eastAsia="SimSun" w:hAnsiTheme="minorHAnsi" w:cstheme="minorHAnsi"/>
          <w:kern w:val="2"/>
          <w:lang w:eastAsia="hi-IN" w:bidi="hi-IN"/>
        </w:rPr>
        <w:t>a</w:t>
      </w:r>
      <w:r w:rsidRPr="00E3579F">
        <w:rPr>
          <w:rFonts w:asciiTheme="minorHAnsi" w:eastAsia="SimSun" w:hAnsiTheme="minorHAnsi" w:cstheme="minorHAnsi"/>
          <w:kern w:val="2"/>
          <w:lang w:eastAsia="hi-IN" w:bidi="hi-IN"/>
        </w:rPr>
        <w:t>.</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77777777" w:rsidR="009375BD" w:rsidRPr="000D52E1" w:rsidRDefault="009375BD"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273F94" w14:paraId="4E0B1912" w14:textId="77777777" w:rsidTr="00D83ACA">
        <w:trPr>
          <w:trHeight w:val="792"/>
        </w:trPr>
        <w:tc>
          <w:tcPr>
            <w:tcW w:w="534" w:type="pct"/>
            <w:shd w:val="clear" w:color="auto" w:fill="auto"/>
            <w:vAlign w:val="center"/>
            <w:hideMark/>
          </w:tcPr>
          <w:p w14:paraId="3311EFBF" w14:textId="77777777" w:rsidR="009375BD" w:rsidRPr="00273F94" w:rsidRDefault="009375BD" w:rsidP="00D83ACA">
            <w:pPr>
              <w:jc w:val="center"/>
              <w:rPr>
                <w:rFonts w:cs="Calibri"/>
                <w:sz w:val="20"/>
                <w:szCs w:val="20"/>
              </w:rPr>
            </w:pPr>
            <w:r w:rsidRPr="00273F94">
              <w:rPr>
                <w:rFonts w:cs="Calibri"/>
                <w:sz w:val="20"/>
                <w:szCs w:val="20"/>
              </w:rPr>
              <w:t>Lp.</w:t>
            </w:r>
          </w:p>
        </w:tc>
        <w:tc>
          <w:tcPr>
            <w:tcW w:w="2985" w:type="pct"/>
            <w:shd w:val="clear" w:color="auto" w:fill="auto"/>
            <w:vAlign w:val="center"/>
            <w:hideMark/>
          </w:tcPr>
          <w:p w14:paraId="52273479" w14:textId="77777777" w:rsidR="009375BD" w:rsidRPr="00273F94" w:rsidRDefault="009375BD" w:rsidP="00D83ACA">
            <w:pPr>
              <w:jc w:val="center"/>
              <w:rPr>
                <w:rFonts w:cs="Calibri"/>
                <w:sz w:val="20"/>
                <w:szCs w:val="20"/>
              </w:rPr>
            </w:pPr>
            <w:r w:rsidRPr="00273F94">
              <w:rPr>
                <w:rFonts w:cs="Calibri"/>
                <w:sz w:val="20"/>
                <w:szCs w:val="20"/>
              </w:rPr>
              <w:t>Wykonawca</w:t>
            </w:r>
          </w:p>
        </w:tc>
        <w:tc>
          <w:tcPr>
            <w:tcW w:w="1481" w:type="pct"/>
            <w:shd w:val="clear" w:color="auto" w:fill="auto"/>
            <w:vAlign w:val="center"/>
          </w:tcPr>
          <w:p w14:paraId="4514E7BD" w14:textId="77777777" w:rsidR="009375BD" w:rsidRPr="00273F94" w:rsidRDefault="009375BD" w:rsidP="00D83ACA">
            <w:pPr>
              <w:jc w:val="center"/>
              <w:rPr>
                <w:rFonts w:cs="Calibri"/>
                <w:sz w:val="20"/>
                <w:szCs w:val="20"/>
              </w:rPr>
            </w:pPr>
            <w:r w:rsidRPr="00273F94">
              <w:rPr>
                <w:rFonts w:cs="Calibri"/>
                <w:sz w:val="20"/>
                <w:szCs w:val="20"/>
              </w:rPr>
              <w:t>Cena brutto</w:t>
            </w:r>
          </w:p>
        </w:tc>
      </w:tr>
      <w:tr w:rsidR="009375BD" w:rsidRPr="00273F94" w14:paraId="1C3416FE" w14:textId="77777777" w:rsidTr="00CB6759">
        <w:trPr>
          <w:trHeight w:val="951"/>
        </w:trPr>
        <w:tc>
          <w:tcPr>
            <w:tcW w:w="534" w:type="pct"/>
            <w:shd w:val="clear" w:color="auto" w:fill="auto"/>
            <w:vAlign w:val="center"/>
          </w:tcPr>
          <w:p w14:paraId="1ACDB875" w14:textId="6858E004" w:rsidR="009375BD" w:rsidRPr="00273F94" w:rsidRDefault="00E3579F" w:rsidP="00D83ACA">
            <w:pPr>
              <w:jc w:val="center"/>
              <w:rPr>
                <w:rFonts w:cs="Calibri"/>
                <w:sz w:val="20"/>
                <w:szCs w:val="20"/>
              </w:rPr>
            </w:pPr>
            <w:r w:rsidRPr="00273F94">
              <w:rPr>
                <w:rFonts w:cs="Calibri"/>
                <w:sz w:val="20"/>
                <w:szCs w:val="20"/>
              </w:rPr>
              <w:t>1</w:t>
            </w:r>
          </w:p>
        </w:tc>
        <w:tc>
          <w:tcPr>
            <w:tcW w:w="2985" w:type="pct"/>
            <w:shd w:val="clear" w:color="auto" w:fill="auto"/>
            <w:vAlign w:val="center"/>
          </w:tcPr>
          <w:p w14:paraId="3EDF3D17" w14:textId="77777777" w:rsidR="00DB3D45" w:rsidRPr="00DB3D45" w:rsidRDefault="00C60704" w:rsidP="00DB3D45">
            <w:pPr>
              <w:jc w:val="center"/>
              <w:rPr>
                <w:rFonts w:cs="Calibri"/>
                <w:sz w:val="20"/>
                <w:szCs w:val="20"/>
              </w:rPr>
            </w:pPr>
            <w:r>
              <w:rPr>
                <w:rFonts w:cs="Calibri"/>
                <w:sz w:val="20"/>
                <w:szCs w:val="20"/>
              </w:rPr>
              <w:br/>
            </w:r>
            <w:r w:rsidR="00DB3D45" w:rsidRPr="00DB3D45">
              <w:rPr>
                <w:rFonts w:cs="Calibri"/>
                <w:sz w:val="20"/>
                <w:szCs w:val="20"/>
              </w:rPr>
              <w:t>KOTTEX Przedsiębiorstwo Współpracy</w:t>
            </w:r>
          </w:p>
          <w:p w14:paraId="15376490" w14:textId="77777777" w:rsidR="00DB3D45" w:rsidRPr="00DB3D45" w:rsidRDefault="00DB3D45" w:rsidP="00DB3D45">
            <w:pPr>
              <w:jc w:val="center"/>
              <w:rPr>
                <w:rFonts w:cs="Calibri"/>
                <w:sz w:val="20"/>
                <w:szCs w:val="20"/>
              </w:rPr>
            </w:pPr>
            <w:r w:rsidRPr="00DB3D45">
              <w:rPr>
                <w:rFonts w:cs="Calibri"/>
                <w:sz w:val="20"/>
                <w:szCs w:val="20"/>
              </w:rPr>
              <w:t>z Zagranicą Janusz Kot</w:t>
            </w:r>
          </w:p>
          <w:p w14:paraId="0919AD8D" w14:textId="77777777" w:rsidR="00DB3D45" w:rsidRPr="00DB3D45" w:rsidRDefault="00DB3D45" w:rsidP="00DB3D45">
            <w:pPr>
              <w:jc w:val="center"/>
              <w:rPr>
                <w:rFonts w:cs="Calibri"/>
                <w:sz w:val="20"/>
                <w:szCs w:val="20"/>
              </w:rPr>
            </w:pPr>
            <w:r w:rsidRPr="00DB3D45">
              <w:rPr>
                <w:rFonts w:cs="Calibri"/>
                <w:sz w:val="20"/>
                <w:szCs w:val="20"/>
              </w:rPr>
              <w:t>ul. 1 Maja 22</w:t>
            </w:r>
          </w:p>
          <w:p w14:paraId="3923A768" w14:textId="77777777" w:rsidR="00DB3D45" w:rsidRPr="00DB3D45" w:rsidRDefault="00DB3D45" w:rsidP="00DB3D45">
            <w:pPr>
              <w:jc w:val="center"/>
              <w:rPr>
                <w:rFonts w:cs="Calibri"/>
                <w:sz w:val="20"/>
                <w:szCs w:val="20"/>
              </w:rPr>
            </w:pPr>
            <w:r w:rsidRPr="00DB3D45">
              <w:rPr>
                <w:rFonts w:cs="Calibri"/>
                <w:sz w:val="20"/>
                <w:szCs w:val="20"/>
              </w:rPr>
              <w:t>67-100 Nowa Sól</w:t>
            </w:r>
          </w:p>
          <w:p w14:paraId="0908A8F3" w14:textId="72875699" w:rsidR="009955F8" w:rsidRPr="00273F94" w:rsidRDefault="00DB3D45" w:rsidP="00DB3D45">
            <w:pPr>
              <w:jc w:val="center"/>
              <w:rPr>
                <w:rFonts w:cs="Calibri"/>
                <w:sz w:val="20"/>
                <w:szCs w:val="20"/>
              </w:rPr>
            </w:pPr>
            <w:r w:rsidRPr="00DB3D45">
              <w:rPr>
                <w:rFonts w:cs="Calibri"/>
                <w:sz w:val="20"/>
                <w:szCs w:val="20"/>
              </w:rPr>
              <w:t>NIP: 925-124-41-64</w:t>
            </w:r>
          </w:p>
        </w:tc>
        <w:tc>
          <w:tcPr>
            <w:tcW w:w="1481" w:type="pct"/>
            <w:shd w:val="clear" w:color="auto" w:fill="auto"/>
            <w:vAlign w:val="center"/>
          </w:tcPr>
          <w:p w14:paraId="2C46338B" w14:textId="1A31F3F6" w:rsidR="009375BD" w:rsidRPr="00273F94" w:rsidRDefault="00DB3D45" w:rsidP="00273F94">
            <w:pPr>
              <w:autoSpaceDE w:val="0"/>
              <w:autoSpaceDN w:val="0"/>
              <w:adjustRightInd w:val="0"/>
              <w:jc w:val="center"/>
              <w:rPr>
                <w:rFonts w:eastAsiaTheme="minorHAnsi" w:cs="Calibri"/>
                <w:color w:val="000000"/>
                <w:sz w:val="20"/>
                <w:szCs w:val="20"/>
              </w:rPr>
            </w:pPr>
            <w:r w:rsidRPr="00DB3D45">
              <w:rPr>
                <w:rFonts w:eastAsiaTheme="minorHAnsi" w:cs="Calibri"/>
                <w:color w:val="000000"/>
                <w:sz w:val="20"/>
                <w:szCs w:val="20"/>
              </w:rPr>
              <w:t>515.775,90</w:t>
            </w:r>
            <w:r>
              <w:rPr>
                <w:rFonts w:eastAsiaTheme="minorHAnsi" w:cs="Calibri"/>
                <w:color w:val="000000"/>
                <w:sz w:val="20"/>
                <w:szCs w:val="20"/>
              </w:rPr>
              <w:t xml:space="preserve">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2E08"/>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B3D4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93</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2021-12-30T06:47:00Z</dcterms:created>
  <dcterms:modified xsi:type="dcterms:W3CDTF">2021-12-30T08:22:00Z</dcterms:modified>
</cp:coreProperties>
</file>