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399D4" w14:textId="4A4F3589" w:rsidR="00D85761" w:rsidRPr="00A96919" w:rsidRDefault="00D85761" w:rsidP="00D85761">
      <w:pPr>
        <w:ind w:hanging="57"/>
        <w:jc w:val="right"/>
        <w:rPr>
          <w:rFonts w:ascii="Arial" w:hAnsi="Arial" w:cs="Arial"/>
          <w:iCs/>
          <w:sz w:val="18"/>
          <w:szCs w:val="18"/>
        </w:rPr>
      </w:pPr>
      <w:bookmarkStart w:id="0" w:name="_Toc61957842"/>
      <w:r w:rsidRPr="00A96919">
        <w:rPr>
          <w:rStyle w:val="Wyrnieniedelikatne"/>
          <w:iCs w:val="0"/>
          <w:sz w:val="18"/>
          <w:szCs w:val="18"/>
        </w:rPr>
        <w:t>Załącznik Nr 1</w:t>
      </w:r>
      <w:r w:rsidR="00A96919" w:rsidRPr="00A96919">
        <w:rPr>
          <w:rStyle w:val="Wyrnieniedelikatne"/>
          <w:iCs w:val="0"/>
          <w:sz w:val="18"/>
          <w:szCs w:val="18"/>
        </w:rPr>
        <w:t>0</w:t>
      </w:r>
      <w:r w:rsidRPr="00A96919">
        <w:rPr>
          <w:rStyle w:val="Wyrnieniedelikatne"/>
          <w:iCs w:val="0"/>
          <w:sz w:val="18"/>
          <w:szCs w:val="18"/>
        </w:rPr>
        <w:t xml:space="preserve"> do SWZ</w:t>
      </w:r>
      <w:bookmarkEnd w:id="0"/>
      <w:r w:rsidRPr="00A96919">
        <w:rPr>
          <w:rStyle w:val="Wyrnieniedelikatne"/>
          <w:iCs w:val="0"/>
          <w:sz w:val="18"/>
          <w:szCs w:val="18"/>
        </w:rPr>
        <w:t xml:space="preserve"> </w:t>
      </w:r>
    </w:p>
    <w:p w14:paraId="07316A89" w14:textId="77777777" w:rsidR="00D85761" w:rsidRPr="00A96919" w:rsidRDefault="00D85761" w:rsidP="00D857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4397E9" w14:textId="45B33628" w:rsidR="00D85761" w:rsidRPr="00A96919" w:rsidRDefault="00D85761" w:rsidP="00D857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96919">
        <w:rPr>
          <w:rFonts w:ascii="Arial" w:hAnsi="Arial" w:cs="Arial"/>
          <w:b/>
          <w:sz w:val="24"/>
          <w:szCs w:val="24"/>
        </w:rPr>
        <w:t>Informacja o zakazach związanych z udzielaniem zamówień publicznych, podmiotom powiązanych z Federacją Rosyjską</w:t>
      </w:r>
    </w:p>
    <w:p w14:paraId="71C937CC" w14:textId="77777777" w:rsidR="00D85761" w:rsidRPr="00A96919" w:rsidRDefault="00D85761" w:rsidP="00D85761">
      <w:p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</w:p>
    <w:p w14:paraId="03F639C7" w14:textId="77777777" w:rsidR="00D85761" w:rsidRPr="00A96919" w:rsidRDefault="00D85761" w:rsidP="00D85761">
      <w:p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</w:p>
    <w:p w14:paraId="587506E8" w14:textId="0E08D594" w:rsidR="00D85761" w:rsidRPr="00A96919" w:rsidRDefault="00D85761" w:rsidP="00D85761">
      <w:p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>Działając na podstawie art. 5k Rozporządzenia Rady UE nr 833/2014 z dnia 31 lipca 2014 r. dotyczącego środków ograniczających w związku z działaniami Rosji destabilizującymi sytuację na Ukrainie (Dz. Urz. UE. L Nr 229, str. 1), zmienionego</w:t>
      </w:r>
      <w:r w:rsidRPr="00A96919">
        <w:rPr>
          <w:rFonts w:ascii="Arial" w:hAnsi="Arial" w:cs="Arial"/>
          <w:iCs/>
          <w:sz w:val="22"/>
          <w:lang w:eastAsia="pl-PL"/>
        </w:rPr>
        <w:t xml:space="preserve"> </w:t>
      </w:r>
      <w:r w:rsidRPr="00A96919">
        <w:rPr>
          <w:rFonts w:ascii="Arial" w:hAnsi="Arial" w:cs="Arial"/>
          <w:iCs/>
          <w:sz w:val="22"/>
        </w:rPr>
        <w:t>Rozporządzeniem Rady UE nr 2022/576 z dnia 8 kwietnia 2022 r. w sprawie zmiany rozporządzenia UE nr 833/2014 dotyczącego środków ograniczających w związku z działaniami Rosji destabilizującymi sytuację na Ukrainie (</w:t>
      </w:r>
      <w:r w:rsidRPr="00A96919">
        <w:rPr>
          <w:rFonts w:ascii="Arial" w:hAnsi="Arial" w:cs="Arial"/>
          <w:iCs/>
          <w:sz w:val="22"/>
          <w:lang w:eastAsia="pl-PL"/>
        </w:rPr>
        <w:t>Dz. Urz. UE nr L 111 z 8.4.2022, str. 1), zwanego dalej „</w:t>
      </w:r>
      <w:r w:rsidRPr="00A96919">
        <w:rPr>
          <w:rFonts w:ascii="Arial" w:hAnsi="Arial" w:cs="Arial"/>
          <w:b/>
          <w:iCs/>
          <w:sz w:val="22"/>
          <w:lang w:eastAsia="pl-PL"/>
        </w:rPr>
        <w:t>Rozporządzeniem sankcyjnym</w:t>
      </w:r>
      <w:r w:rsidRPr="00A96919">
        <w:rPr>
          <w:rFonts w:ascii="Arial" w:hAnsi="Arial" w:cs="Arial"/>
          <w:iCs/>
          <w:sz w:val="22"/>
          <w:lang w:eastAsia="pl-PL"/>
        </w:rPr>
        <w:t>”,</w:t>
      </w:r>
    </w:p>
    <w:p w14:paraId="1C96CEE5" w14:textId="77777777" w:rsidR="00D85761" w:rsidRPr="00A96919" w:rsidRDefault="00D85761" w:rsidP="00D85761">
      <w:p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b/>
          <w:iCs/>
          <w:sz w:val="22"/>
          <w:lang w:eastAsia="pl-PL"/>
        </w:rPr>
        <w:t>zakazuje się</w:t>
      </w: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608BEE26" w14:textId="77777777" w:rsidR="00D85761" w:rsidRPr="00A96919" w:rsidRDefault="00D85761" w:rsidP="00D85761">
      <w:pPr>
        <w:spacing w:after="0" w:line="360" w:lineRule="auto"/>
        <w:ind w:left="708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a) obywateli rosyjskich lub osób fizycznych lub prawnych, podmiotów lub organów z siedzibą w Rosji; </w:t>
      </w:r>
    </w:p>
    <w:p w14:paraId="733C022A" w14:textId="77777777" w:rsidR="00D85761" w:rsidRPr="00A96919" w:rsidRDefault="00D85761" w:rsidP="00D85761">
      <w:pPr>
        <w:spacing w:after="0" w:line="360" w:lineRule="auto"/>
        <w:ind w:left="708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b) osób prawnych, podmiotów lub organów, do których prawa własności bezpośrednio lub pośrednio w ponad 50 % należą do podmiotu, o którym mowa w lit. a) niniejszego ustępu; lub </w:t>
      </w:r>
    </w:p>
    <w:p w14:paraId="602C07B5" w14:textId="77777777" w:rsidR="00D85761" w:rsidRPr="00A96919" w:rsidRDefault="00D85761" w:rsidP="00D85761">
      <w:pPr>
        <w:spacing w:after="0" w:line="360" w:lineRule="auto"/>
        <w:ind w:left="708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c) osób fizycznych lub prawnych, podmiotów lub organów działających w imieniu lub pod kierunkiem podmiotu, o którym mowa w lit. a) lub b) niniejszego ustępu, </w:t>
      </w:r>
    </w:p>
    <w:p w14:paraId="14308DBD" w14:textId="77777777" w:rsidR="00D85761" w:rsidRPr="00A96919" w:rsidRDefault="00D85761" w:rsidP="00D85761">
      <w:pPr>
        <w:spacing w:after="0" w:line="360" w:lineRule="auto"/>
        <w:ind w:left="708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w tym podwykonawców, dostawców lub podmiotów, na których zdolności polega się w rozumieniu dyrektyw w sprawie zamówień publicznych, w przypadku gdy przypada na nich ponad 10 % wartości zamówienia. </w:t>
      </w:r>
    </w:p>
    <w:p w14:paraId="2D8E3A1A" w14:textId="77777777" w:rsidR="00D85761" w:rsidRPr="00A96919" w:rsidRDefault="00D85761" w:rsidP="00D85761">
      <w:p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</w:p>
    <w:p w14:paraId="74C756E0" w14:textId="0B6E9D1E" w:rsidR="00D85761" w:rsidRPr="00A96919" w:rsidRDefault="00D85761" w:rsidP="00D85761">
      <w:p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W celu realizacji zakazu, o którym mowa w art. 5k Rozporządzenia sankcyjnego, zamawiający </w:t>
      </w:r>
      <w:r w:rsidRPr="00A96919">
        <w:rPr>
          <w:rFonts w:ascii="Arial" w:eastAsia="Times New Roman" w:hAnsi="Arial" w:cs="Arial"/>
          <w:b/>
          <w:iCs/>
          <w:sz w:val="22"/>
          <w:u w:val="single"/>
          <w:lang w:eastAsia="pl-PL"/>
        </w:rPr>
        <w:t>przed zawarciem umowy o zamówienie publiczne</w:t>
      </w:r>
      <w:r w:rsidRPr="00A96919">
        <w:rPr>
          <w:rFonts w:ascii="Arial" w:eastAsia="Times New Roman" w:hAnsi="Arial" w:cs="Arial"/>
          <w:iCs/>
          <w:sz w:val="22"/>
          <w:lang w:eastAsia="pl-PL"/>
        </w:rPr>
        <w:t>, może zażądać od:</w:t>
      </w:r>
    </w:p>
    <w:p w14:paraId="1E5CCB4F" w14:textId="77777777" w:rsidR="00D85761" w:rsidRPr="00A96919" w:rsidRDefault="00D85761" w:rsidP="00D85761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Wykonawcy (wykonawców wspólnie ubiegających się o udzielenie zamówienia publicznego), którego (których) oferta została wybrana jako najkorzystniejsza, a także </w:t>
      </w:r>
    </w:p>
    <w:p w14:paraId="68F059F5" w14:textId="77777777" w:rsidR="00D85761" w:rsidRPr="00A96919" w:rsidRDefault="00D85761" w:rsidP="00D85761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lastRenderedPageBreak/>
        <w:t xml:space="preserve">podwykonawców wykonawcy, dostawców wykonawcy lub podmiotów wykonawcy, na których zdolności polega się w rozumieniu dyrektyw w sprawie zamówień publicznych, w przypadku gdy przypada na nich ponad 10 % wartości zamówienia, </w:t>
      </w:r>
    </w:p>
    <w:p w14:paraId="67B7F80C" w14:textId="77777777" w:rsidR="00D85761" w:rsidRPr="00A96919" w:rsidRDefault="00D85761" w:rsidP="00D85761">
      <w:p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iCs/>
          <w:sz w:val="22"/>
          <w:lang w:eastAsia="pl-PL"/>
        </w:rPr>
        <w:t>- następujących dokumentów i oświadczeń:</w:t>
      </w:r>
    </w:p>
    <w:p w14:paraId="17B3E1B8" w14:textId="77777777" w:rsidR="00D85761" w:rsidRPr="00A96919" w:rsidRDefault="00D85761" w:rsidP="00D8576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eastAsia="Times New Roman" w:hAnsi="Arial" w:cs="Arial"/>
          <w:b/>
          <w:iCs/>
          <w:sz w:val="22"/>
          <w:lang w:eastAsia="pl-PL"/>
        </w:rPr>
        <w:t>Oświadczenia</w:t>
      </w: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 o nie pozostawaniu objętym zakazem, o którym mowa w art. 5k Rozporządzenia sankcyjnego, </w:t>
      </w:r>
      <w:r w:rsidRPr="00A96919">
        <w:rPr>
          <w:rFonts w:ascii="Arial" w:eastAsia="Times New Roman" w:hAnsi="Arial" w:cs="Arial"/>
          <w:b/>
          <w:iCs/>
          <w:sz w:val="22"/>
          <w:lang w:eastAsia="pl-PL"/>
        </w:rPr>
        <w:t>aktualnego na dzień jego złożenia</w:t>
      </w:r>
      <w:r w:rsidRPr="00A96919">
        <w:rPr>
          <w:rFonts w:ascii="Arial" w:eastAsia="Times New Roman" w:hAnsi="Arial" w:cs="Arial"/>
          <w:iCs/>
          <w:sz w:val="22"/>
          <w:lang w:eastAsia="pl-PL"/>
        </w:rPr>
        <w:t>;</w:t>
      </w:r>
    </w:p>
    <w:p w14:paraId="6AE6FEE5" w14:textId="77777777" w:rsidR="00D85761" w:rsidRPr="00A96919" w:rsidRDefault="00D85761" w:rsidP="00D8576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hAnsi="Arial" w:cs="Arial"/>
          <w:b/>
          <w:iCs/>
          <w:color w:val="000000"/>
          <w:sz w:val="22"/>
          <w:lang w:eastAsia="zh-CN"/>
        </w:rPr>
        <w:t xml:space="preserve">odpisu lub informacji z Krajowego Rejestru Sądowego </w:t>
      </w:r>
      <w:r w:rsidRPr="00A96919">
        <w:rPr>
          <w:rFonts w:ascii="Arial" w:hAnsi="Arial" w:cs="Arial"/>
          <w:iCs/>
          <w:color w:val="000000"/>
          <w:sz w:val="22"/>
          <w:lang w:eastAsia="zh-CN"/>
        </w:rPr>
        <w:t>lub z</w:t>
      </w:r>
      <w:r w:rsidRPr="00A96919">
        <w:rPr>
          <w:rFonts w:ascii="Arial" w:hAnsi="Arial" w:cs="Arial"/>
          <w:b/>
          <w:iCs/>
          <w:color w:val="000000"/>
          <w:sz w:val="22"/>
          <w:lang w:eastAsia="zh-CN"/>
        </w:rPr>
        <w:t xml:space="preserve"> Centralnej Ewidencji i Informacji o Działalności Gospodarczej,</w:t>
      </w:r>
      <w:r w:rsidRPr="00A96919">
        <w:rPr>
          <w:rFonts w:ascii="Arial" w:hAnsi="Arial" w:cs="Arial"/>
          <w:bCs/>
          <w:iCs/>
          <w:color w:val="000000"/>
          <w:sz w:val="22"/>
          <w:lang w:eastAsia="zh-CN"/>
        </w:rPr>
        <w:t xml:space="preserve"> sporządzony </w:t>
      </w:r>
      <w:r w:rsidRPr="00A96919">
        <w:rPr>
          <w:rFonts w:ascii="Arial" w:hAnsi="Arial" w:cs="Arial"/>
          <w:bCs/>
          <w:iCs/>
          <w:color w:val="000000"/>
          <w:sz w:val="22"/>
          <w:u w:val="single"/>
          <w:lang w:eastAsia="zh-CN"/>
        </w:rPr>
        <w:t>nie wcześniej niż przed 24 lutego 2022 roku</w:t>
      </w:r>
      <w:r w:rsidRPr="00A96919">
        <w:rPr>
          <w:rFonts w:ascii="Arial" w:hAnsi="Arial" w:cs="Arial"/>
          <w:bCs/>
          <w:iCs/>
          <w:color w:val="000000"/>
          <w:sz w:val="22"/>
          <w:lang w:eastAsia="zh-CN"/>
        </w:rPr>
        <w:t xml:space="preserve">, jeżeli odrębne przepisy wymagają wpisu do rejestru lub ewidencji, </w:t>
      </w:r>
      <w:r w:rsidRPr="00A96919">
        <w:rPr>
          <w:rFonts w:ascii="Arial" w:eastAsia="Times New Roman" w:hAnsi="Arial" w:cs="Arial"/>
          <w:iCs/>
          <w:sz w:val="22"/>
          <w:lang w:eastAsia="pl-PL"/>
        </w:rPr>
        <w:t xml:space="preserve">lub równoważnego zagranicznego   </w:t>
      </w:r>
    </w:p>
    <w:p w14:paraId="3ACD9A17" w14:textId="77777777" w:rsidR="00D85761" w:rsidRPr="00A96919" w:rsidRDefault="00D85761" w:rsidP="00D8576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hAnsi="Arial" w:cs="Arial"/>
          <w:b/>
          <w:iCs/>
          <w:sz w:val="22"/>
        </w:rPr>
        <w:t>informacji z Centralnego Rejestru Beneficjentów Rzeczywistych</w:t>
      </w:r>
      <w:r w:rsidRPr="00A96919">
        <w:rPr>
          <w:rFonts w:ascii="Arial" w:hAnsi="Arial" w:cs="Arial"/>
          <w:iCs/>
          <w:sz w:val="22"/>
        </w:rPr>
        <w:t xml:space="preserve">, jeżeli odrębne przepisy wymagają wpisu do tego rejestru, sporządzoną nie wcześniej niż </w:t>
      </w:r>
      <w:r w:rsidRPr="00A96919">
        <w:rPr>
          <w:rFonts w:ascii="Arial" w:hAnsi="Arial" w:cs="Arial"/>
          <w:bCs/>
          <w:iCs/>
          <w:color w:val="000000"/>
          <w:sz w:val="22"/>
          <w:u w:val="single"/>
          <w:lang w:eastAsia="zh-CN"/>
        </w:rPr>
        <w:t>przed 24 lutego 2022 roku.</w:t>
      </w:r>
    </w:p>
    <w:p w14:paraId="7C9D4AC7" w14:textId="77777777" w:rsidR="00D85761" w:rsidRPr="00A96919" w:rsidRDefault="00D85761" w:rsidP="00D8576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iCs/>
          <w:sz w:val="22"/>
          <w:lang w:eastAsia="pl-PL"/>
        </w:rPr>
      </w:pPr>
      <w:r w:rsidRPr="00A96919">
        <w:rPr>
          <w:rFonts w:ascii="Arial" w:hAnsi="Arial" w:cs="Arial"/>
          <w:iCs/>
          <w:sz w:val="22"/>
        </w:rPr>
        <w:t xml:space="preserve">przedłożenia aktualnej </w:t>
      </w:r>
      <w:r w:rsidRPr="00A96919">
        <w:rPr>
          <w:rFonts w:ascii="Arial" w:hAnsi="Arial" w:cs="Arial"/>
          <w:b/>
          <w:iCs/>
          <w:sz w:val="22"/>
        </w:rPr>
        <w:t>informacji z rejestru akcjonariuszy</w:t>
      </w:r>
      <w:r w:rsidRPr="00A96919">
        <w:rPr>
          <w:rFonts w:ascii="Arial" w:hAnsi="Arial" w:cs="Arial"/>
          <w:iCs/>
          <w:sz w:val="22"/>
        </w:rPr>
        <w:t>, o którym mowa w art. 328</w:t>
      </w:r>
      <w:r w:rsidRPr="00A96919">
        <w:rPr>
          <w:rFonts w:ascii="Arial" w:hAnsi="Arial" w:cs="Arial"/>
          <w:iCs/>
          <w:sz w:val="22"/>
          <w:vertAlign w:val="superscript"/>
        </w:rPr>
        <w:t>1</w:t>
      </w:r>
      <w:r w:rsidRPr="00A96919">
        <w:rPr>
          <w:rFonts w:ascii="Arial" w:hAnsi="Arial" w:cs="Arial"/>
          <w:iCs/>
          <w:sz w:val="22"/>
        </w:rPr>
        <w:t xml:space="preserve"> Kodeksu spółek handlowych lub rejestru udziałów </w:t>
      </w:r>
      <w:r w:rsidRPr="00A96919">
        <w:rPr>
          <w:rFonts w:ascii="Arial" w:hAnsi="Arial" w:cs="Arial"/>
          <w:b/>
          <w:iCs/>
          <w:sz w:val="22"/>
        </w:rPr>
        <w:t>księgi udziałów</w:t>
      </w:r>
      <w:r w:rsidRPr="00A96919">
        <w:rPr>
          <w:rFonts w:ascii="Arial" w:hAnsi="Arial" w:cs="Arial"/>
          <w:iCs/>
          <w:sz w:val="22"/>
        </w:rPr>
        <w:t>, o której mowa w art. 188 Kodeksu spółek handlowych.</w:t>
      </w:r>
    </w:p>
    <w:p w14:paraId="71882982" w14:textId="77777777" w:rsidR="00047846" w:rsidRPr="00A96919" w:rsidRDefault="00047846">
      <w:pPr>
        <w:rPr>
          <w:rFonts w:ascii="Arial" w:hAnsi="Arial" w:cs="Arial"/>
          <w:iCs/>
          <w:sz w:val="18"/>
          <w:szCs w:val="20"/>
        </w:rPr>
      </w:pPr>
    </w:p>
    <w:sectPr w:rsidR="00047846" w:rsidRPr="00A96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D061C" w14:textId="77777777" w:rsidR="00541183" w:rsidRDefault="00541183" w:rsidP="00D85761">
      <w:pPr>
        <w:spacing w:after="0" w:line="240" w:lineRule="auto"/>
      </w:pPr>
      <w:r>
        <w:separator/>
      </w:r>
    </w:p>
  </w:endnote>
  <w:endnote w:type="continuationSeparator" w:id="0">
    <w:p w14:paraId="1B0CDD60" w14:textId="77777777" w:rsidR="00541183" w:rsidRDefault="00541183" w:rsidP="00D8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D0AC1" w14:textId="77777777" w:rsidR="00541183" w:rsidRDefault="00541183" w:rsidP="00D85761">
      <w:pPr>
        <w:spacing w:after="0" w:line="240" w:lineRule="auto"/>
      </w:pPr>
      <w:r>
        <w:separator/>
      </w:r>
    </w:p>
  </w:footnote>
  <w:footnote w:type="continuationSeparator" w:id="0">
    <w:p w14:paraId="0F9C0050" w14:textId="77777777" w:rsidR="00541183" w:rsidRDefault="00541183" w:rsidP="00D85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D3CD6"/>
    <w:multiLevelType w:val="hybridMultilevel"/>
    <w:tmpl w:val="37541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F0265"/>
    <w:multiLevelType w:val="hybridMultilevel"/>
    <w:tmpl w:val="5818E9FA"/>
    <w:lvl w:ilvl="0" w:tplc="E2A8D50A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206C15"/>
    <w:multiLevelType w:val="hybridMultilevel"/>
    <w:tmpl w:val="18ACE70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00AA4"/>
    <w:multiLevelType w:val="hybridMultilevel"/>
    <w:tmpl w:val="53C05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151928">
    <w:abstractNumId w:val="3"/>
  </w:num>
  <w:num w:numId="2" w16cid:durableId="1663460883">
    <w:abstractNumId w:val="0"/>
  </w:num>
  <w:num w:numId="3" w16cid:durableId="910890128">
    <w:abstractNumId w:val="2"/>
  </w:num>
  <w:num w:numId="4" w16cid:durableId="759957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761"/>
    <w:rsid w:val="00047846"/>
    <w:rsid w:val="00363330"/>
    <w:rsid w:val="00541183"/>
    <w:rsid w:val="00A96919"/>
    <w:rsid w:val="00D8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ADEFD"/>
  <w15:chartTrackingRefBased/>
  <w15:docId w15:val="{865E25E8-D068-4AEB-B7F7-5E596195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761"/>
    <w:pPr>
      <w:spacing w:after="240" w:line="240" w:lineRule="exact"/>
    </w:pPr>
    <w:rPr>
      <w:rFonts w:ascii="Lato" w:eastAsia="Calibri" w:hAnsi="Lato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5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761"/>
    <w:rPr>
      <w:rFonts w:ascii="Lato" w:eastAsia="Calibri" w:hAnsi="Lato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D85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761"/>
    <w:rPr>
      <w:rFonts w:ascii="Lato" w:eastAsia="Calibri" w:hAnsi="Lato" w:cs="Times New Roman"/>
      <w:sz w:val="20"/>
    </w:rPr>
  </w:style>
  <w:style w:type="character" w:styleId="Wyrnieniedelikatne">
    <w:name w:val="Subtle Emphasis"/>
    <w:basedOn w:val="Domylnaczcionkaakapitu"/>
    <w:uiPriority w:val="19"/>
    <w:qFormat/>
    <w:rsid w:val="00D85761"/>
    <w:rPr>
      <w:rFonts w:ascii="Arial" w:hAnsi="Arial" w:cs="Arial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Wróblewska</dc:creator>
  <cp:keywords/>
  <dc:description/>
  <cp:lastModifiedBy>Ilona Wróblewska</cp:lastModifiedBy>
  <cp:revision>3</cp:revision>
  <dcterms:created xsi:type="dcterms:W3CDTF">2022-05-12T09:57:00Z</dcterms:created>
  <dcterms:modified xsi:type="dcterms:W3CDTF">2022-07-11T06:55:00Z</dcterms:modified>
</cp:coreProperties>
</file>