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329D590" w14:textId="77777777" w:rsidR="00FC5637" w:rsidRPr="00FC5637" w:rsidRDefault="002E43FB" w:rsidP="00FC563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C5637" w:rsidRPr="00FC5637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instalacji gazowej i kotłowni c.o. budynku biurowo-magazynowego </w:t>
      </w:r>
    </w:p>
    <w:p w14:paraId="3BCF9840" w14:textId="680A452D" w:rsidR="008823AF" w:rsidRPr="0051787A" w:rsidRDefault="00FC5637" w:rsidP="00FC563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FC5637">
        <w:rPr>
          <w:rFonts w:asciiTheme="majorHAnsi" w:hAnsiTheme="majorHAnsi"/>
          <w:b/>
          <w:i/>
          <w:color w:val="000000" w:themeColor="text1"/>
          <w:sz w:val="22"/>
          <w:szCs w:val="22"/>
        </w:rPr>
        <w:t>siedziby Zakładu Gospodarki Miejskiej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2797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C5637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632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97</cp:revision>
  <cp:lastPrinted>2019-02-14T08:39:00Z</cp:lastPrinted>
  <dcterms:created xsi:type="dcterms:W3CDTF">2019-02-11T19:01:00Z</dcterms:created>
  <dcterms:modified xsi:type="dcterms:W3CDTF">2021-09-24T04:27:00Z</dcterms:modified>
</cp:coreProperties>
</file>