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9F3076">
        <w:rPr>
          <w:rFonts w:ascii="Cambria" w:eastAsia="Times New Roman" w:hAnsi="Cambria" w:cs="Tahoma"/>
          <w:lang w:eastAsia="pl-PL"/>
        </w:rPr>
        <w:t>20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C42B97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C42B97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C42B97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0503B1" w:rsidRDefault="0013343A" w:rsidP="000503B1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0503B1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FA0102" w:rsidRPr="000503B1" w:rsidRDefault="00FA0102" w:rsidP="000503B1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5D735C" w:rsidRPr="000503B1" w:rsidRDefault="005D735C" w:rsidP="000503B1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0503B1">
        <w:rPr>
          <w:rFonts w:ascii="Cambria" w:hAnsi="Cambria" w:cs="Arial"/>
          <w:b/>
          <w:sz w:val="24"/>
          <w:szCs w:val="24"/>
        </w:rPr>
        <w:t>Pakiet 7 pozycja 1., poz. 4</w:t>
      </w:r>
    </w:p>
    <w:p w:rsidR="005D735C" w:rsidRPr="000503B1" w:rsidRDefault="005D735C" w:rsidP="000503B1">
      <w:pPr>
        <w:shd w:val="clear" w:color="auto" w:fill="FFFFFF"/>
        <w:spacing w:after="0" w:line="240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0503B1">
        <w:rPr>
          <w:rFonts w:ascii="Cambria" w:eastAsia="Calibri" w:hAnsi="Cambria" w:cs="Tahoma"/>
          <w:color w:val="000000"/>
          <w:sz w:val="24"/>
          <w:szCs w:val="24"/>
          <w:lang w:eastAsia="ar-SA"/>
        </w:rPr>
        <w:t>Prosimy Zamawiającego o dostąpienie od  wymogu definicji NIOSH</w:t>
      </w:r>
      <w:r w:rsidRPr="000503B1">
        <w:rPr>
          <w:rFonts w:ascii="Cambria" w:eastAsia="Calibri" w:hAnsi="Cambria" w:cs="Calibri"/>
          <w:color w:val="000000"/>
          <w:sz w:val="24"/>
          <w:szCs w:val="24"/>
        </w:rPr>
        <w:t xml:space="preserve">  </w:t>
      </w:r>
      <w:r w:rsidRPr="000503B1">
        <w:rPr>
          <w:rFonts w:ascii="Cambria" w:eastAsia="Calibri" w:hAnsi="Cambria" w:cs="Tahoma"/>
          <w:color w:val="000000"/>
          <w:sz w:val="24"/>
          <w:szCs w:val="24"/>
        </w:rPr>
        <w:t>jest  to (</w:t>
      </w:r>
      <w:proofErr w:type="spellStart"/>
      <w:r w:rsidRPr="000503B1">
        <w:rPr>
          <w:rFonts w:ascii="Cambria" w:eastAsia="Calibri" w:hAnsi="Cambria" w:cs="Tahoma"/>
          <w:color w:val="000000"/>
          <w:sz w:val="24"/>
          <w:szCs w:val="24"/>
        </w:rPr>
        <w:t>National</w:t>
      </w:r>
      <w:proofErr w:type="spellEnd"/>
      <w:r w:rsidRPr="000503B1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proofErr w:type="spellStart"/>
      <w:r w:rsidRPr="000503B1">
        <w:rPr>
          <w:rFonts w:ascii="Cambria" w:eastAsia="Calibri" w:hAnsi="Cambria" w:cs="Tahoma"/>
          <w:color w:val="000000"/>
          <w:sz w:val="24"/>
          <w:szCs w:val="24"/>
        </w:rPr>
        <w:t>Institute</w:t>
      </w:r>
      <w:proofErr w:type="spellEnd"/>
      <w:r w:rsidRPr="000503B1">
        <w:rPr>
          <w:rFonts w:ascii="Cambria" w:eastAsia="Calibri" w:hAnsi="Cambria" w:cs="Tahoma"/>
          <w:color w:val="000000"/>
          <w:sz w:val="24"/>
          <w:szCs w:val="24"/>
        </w:rPr>
        <w:t xml:space="preserve"> for </w:t>
      </w:r>
      <w:proofErr w:type="spellStart"/>
      <w:r w:rsidRPr="000503B1">
        <w:rPr>
          <w:rFonts w:ascii="Cambria" w:eastAsia="Calibri" w:hAnsi="Cambria" w:cs="Tahoma"/>
          <w:color w:val="000000"/>
          <w:sz w:val="24"/>
          <w:szCs w:val="24"/>
        </w:rPr>
        <w:t>Occupational</w:t>
      </w:r>
      <w:proofErr w:type="spellEnd"/>
      <w:r w:rsidRPr="000503B1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proofErr w:type="spellStart"/>
      <w:r w:rsidRPr="000503B1">
        <w:rPr>
          <w:rFonts w:ascii="Cambria" w:eastAsia="Calibri" w:hAnsi="Cambria" w:cs="Tahoma"/>
          <w:color w:val="000000"/>
          <w:sz w:val="24"/>
          <w:szCs w:val="24"/>
        </w:rPr>
        <w:t>Safety</w:t>
      </w:r>
      <w:proofErr w:type="spellEnd"/>
      <w:r w:rsidRPr="000503B1">
        <w:rPr>
          <w:rFonts w:ascii="Cambria" w:eastAsia="Calibri" w:hAnsi="Cambria" w:cs="Tahoma"/>
          <w:color w:val="000000"/>
          <w:sz w:val="24"/>
          <w:szCs w:val="24"/>
        </w:rPr>
        <w:t xml:space="preserve"> and </w:t>
      </w:r>
      <w:proofErr w:type="spellStart"/>
      <w:r w:rsidRPr="000503B1">
        <w:rPr>
          <w:rFonts w:ascii="Cambria" w:eastAsia="Calibri" w:hAnsi="Cambria" w:cs="Tahoma"/>
          <w:color w:val="000000"/>
          <w:sz w:val="24"/>
          <w:szCs w:val="24"/>
        </w:rPr>
        <w:t>Health</w:t>
      </w:r>
      <w:proofErr w:type="spellEnd"/>
      <w:r w:rsidRPr="000503B1">
        <w:rPr>
          <w:rFonts w:ascii="Cambria" w:eastAsia="Calibri" w:hAnsi="Cambria" w:cs="Tahoma"/>
          <w:color w:val="000000"/>
          <w:sz w:val="24"/>
          <w:szCs w:val="24"/>
        </w:rPr>
        <w:t>) to Narodowy Instytut Bezpieczeństwa i Higieny Pracy, który jest federalną agencją USA odpowiedzialną za prowadzenie badań i wydawanie zaleceń dotyczących zapobiegania urazom i chorobom związanym z pracą.</w:t>
      </w:r>
      <w:r w:rsidRPr="000503B1">
        <w:rPr>
          <w:rFonts w:ascii="Cambria" w:eastAsia="Calibri" w:hAnsi="Cambria" w:cs="Calibri"/>
          <w:b/>
          <w:bCs/>
          <w:color w:val="000000"/>
          <w:sz w:val="24"/>
          <w:szCs w:val="24"/>
        </w:rPr>
        <w:t xml:space="preserve">  </w:t>
      </w:r>
      <w:r w:rsidRPr="000503B1">
        <w:rPr>
          <w:rFonts w:ascii="Cambria" w:eastAsia="Calibri" w:hAnsi="Cambria" w:cs="Tahoma"/>
          <w:b/>
          <w:bCs/>
          <w:color w:val="000000"/>
          <w:sz w:val="24"/>
          <w:szCs w:val="24"/>
        </w:rPr>
        <w:t>Jednocześnie należy zauważyć i wymagana przez Państwa definicja  odnosi się do  Narodowy Instytut Bezpieczeństwa i Higieny Pracy</w:t>
      </w:r>
      <w:r w:rsidRPr="000503B1">
        <w:rPr>
          <w:rFonts w:ascii="Cambria" w:eastAsia="Calibri" w:hAnsi="Cambria" w:cs="Tahoma"/>
          <w:color w:val="000000"/>
          <w:sz w:val="24"/>
          <w:szCs w:val="24"/>
        </w:rPr>
        <w:t xml:space="preserve"> (NIOSH):  opisuje również Protokół testów wydajnościowych dla wyrobów do transferu w systemie zamkniętym stosowanych </w:t>
      </w:r>
      <w:r w:rsidRPr="000503B1">
        <w:rPr>
          <w:rFonts w:ascii="Cambria" w:eastAsia="Calibri" w:hAnsi="Cambria" w:cs="Tahoma"/>
          <w:b/>
          <w:bCs/>
          <w:color w:val="000000"/>
          <w:sz w:val="24"/>
          <w:szCs w:val="24"/>
        </w:rPr>
        <w:t>w przemyśle farmaceutycznym</w:t>
      </w:r>
      <w:r w:rsidRPr="000503B1">
        <w:rPr>
          <w:rFonts w:ascii="Cambria" w:eastAsia="Calibri" w:hAnsi="Cambria" w:cs="Tahoma"/>
          <w:color w:val="000000"/>
          <w:sz w:val="24"/>
          <w:szCs w:val="24"/>
        </w:rPr>
        <w:t xml:space="preserve"> przy przygotowaniu i podawaniu leków niebezpiecznych, dlatego  też nie ma zastosowania  w przypadku przyrządów do przetaczania płynów infuzyjnych. </w:t>
      </w:r>
    </w:p>
    <w:p w:rsidR="005D735C" w:rsidRPr="000503B1" w:rsidRDefault="000503B1" w:rsidP="000503B1">
      <w:pPr>
        <w:spacing w:after="0" w:line="240" w:lineRule="auto"/>
        <w:jc w:val="both"/>
        <w:rPr>
          <w:rFonts w:ascii="Cambria" w:eastAsia="Times New Roman" w:hAnsi="Cambria" w:cs="Arial-BoldMT"/>
          <w:b/>
          <w:sz w:val="24"/>
          <w:szCs w:val="24"/>
        </w:rPr>
      </w:pPr>
      <w:r>
        <w:rPr>
          <w:rFonts w:ascii="Cambria" w:eastAsia="Times New Roman" w:hAnsi="Cambria" w:cs="Arial-BoldMT"/>
          <w:b/>
          <w:sz w:val="24"/>
          <w:szCs w:val="24"/>
        </w:rPr>
        <w:t xml:space="preserve">Odp. Zamawiający dopuszcza pod warunkiem </w:t>
      </w:r>
      <w:r w:rsidRPr="000503B1">
        <w:rPr>
          <w:rFonts w:ascii="Cambria" w:eastAsia="Times New Roman" w:hAnsi="Cambria" w:cstheme="minorHAnsi"/>
          <w:b/>
          <w:sz w:val="24"/>
          <w:szCs w:val="24"/>
          <w:lang w:eastAsia="pl-PL"/>
        </w:rPr>
        <w:t>raportem z niezależnego laboratorium</w:t>
      </w: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bookmarkStart w:id="0" w:name="_Hlk161843566"/>
      <w:r w:rsidRPr="000503B1">
        <w:rPr>
          <w:rFonts w:ascii="Cambria" w:hAnsi="Cambria" w:cs="Arial"/>
          <w:b/>
          <w:sz w:val="24"/>
          <w:szCs w:val="24"/>
        </w:rPr>
        <w:t>Pakiet 7 pozycja 1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Arial-BoldMT"/>
          <w:bCs/>
          <w:sz w:val="24"/>
          <w:szCs w:val="24"/>
        </w:rPr>
      </w:pPr>
      <w:r w:rsidRPr="000503B1">
        <w:rPr>
          <w:rFonts w:ascii="Cambria" w:hAnsi="Cambria" w:cs="Arial"/>
          <w:bCs/>
          <w:sz w:val="24"/>
          <w:szCs w:val="24"/>
        </w:rPr>
        <w:t>Prosimy o dopuszczenie przyrządu zgodnego z opisem</w:t>
      </w:r>
      <w:bookmarkEnd w:id="0"/>
      <w:r w:rsidRPr="000503B1">
        <w:rPr>
          <w:rFonts w:ascii="Cambria" w:hAnsi="Cambria" w:cs="Arial"/>
          <w:bCs/>
          <w:sz w:val="24"/>
          <w:szCs w:val="24"/>
        </w:rPr>
        <w:t>: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uniwersalny ostry kolec, wzmocniony ABS, pozwalający na łatwe wprowadzanie także do małych butelek i całkowite opróżnienie butelki</w:t>
      </w:r>
      <w:r w:rsidRPr="000503B1">
        <w:rPr>
          <w:rFonts w:ascii="Cambria" w:eastAsia="Calibri" w:hAnsi="Cambria" w:cs="Calibri"/>
          <w:sz w:val="24"/>
          <w:szCs w:val="24"/>
        </w:rPr>
        <w:t xml:space="preserve"> </w:t>
      </w:r>
      <w:r w:rsidRPr="000503B1">
        <w:rPr>
          <w:rFonts w:ascii="Cambria" w:eastAsia="Calibri" w:hAnsi="Cambria" w:cs="Segoe UI"/>
          <w:sz w:val="24"/>
          <w:szCs w:val="24"/>
        </w:rPr>
        <w:t>oraz szczelne połączenie z workiem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Igła biorcza dwukanałowa posiada odpowietrzniki z filtrem 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Wyposażony w skrzydełka ułatwiające wbicie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Komora kroplowa o długości 62 mm pozwala na lepsze ustalenie poziomu płynu 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(55 mm w części przezroczystej)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Kroplomierz (20 kropli  = 1,0 ml ± 01 ml)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15 µm filtr płynu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Precyzyjny zacisk rolkowy z miejscem na dren oraz igłę po użyciu, 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Logo umożliwiające identyfikację wyrobu na zaciskaczu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Łącznik </w:t>
      </w:r>
      <w:proofErr w:type="spellStart"/>
      <w:r w:rsidRPr="000503B1">
        <w:rPr>
          <w:rFonts w:ascii="Cambria" w:eastAsia="Calibri" w:hAnsi="Cambria" w:cs="Segoe UI"/>
          <w:sz w:val="24"/>
          <w:szCs w:val="24"/>
        </w:rPr>
        <w:t>luer</w:t>
      </w:r>
      <w:proofErr w:type="spellEnd"/>
      <w:r w:rsidRPr="000503B1">
        <w:rPr>
          <w:rFonts w:ascii="Cambria" w:eastAsia="Calibri" w:hAnsi="Cambria" w:cs="Segoe UI"/>
          <w:sz w:val="24"/>
          <w:szCs w:val="24"/>
        </w:rPr>
        <w:t xml:space="preserve"> lock umożliwiający szczelne i trwałe połączenie z kaniulą dożylną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Dren długości 150 cm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Sterylny, </w:t>
      </w:r>
      <w:proofErr w:type="spellStart"/>
      <w:r w:rsidRPr="000503B1">
        <w:rPr>
          <w:rFonts w:ascii="Cambria" w:eastAsia="Calibri" w:hAnsi="Cambria" w:cs="Segoe UI"/>
          <w:sz w:val="24"/>
          <w:szCs w:val="24"/>
        </w:rPr>
        <w:t>apirogenny</w:t>
      </w:r>
      <w:proofErr w:type="spellEnd"/>
      <w:r w:rsidRPr="000503B1">
        <w:rPr>
          <w:rFonts w:ascii="Cambria" w:eastAsia="Calibri" w:hAnsi="Cambria" w:cs="Segoe UI"/>
          <w:sz w:val="24"/>
          <w:szCs w:val="24"/>
        </w:rPr>
        <w:t>, nietoksyczny, jednokrotnego użytku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Opakowanie typu folia papier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Wolny od </w:t>
      </w:r>
      <w:proofErr w:type="spellStart"/>
      <w:r w:rsidRPr="000503B1">
        <w:rPr>
          <w:rFonts w:ascii="Cambria" w:eastAsia="Calibri" w:hAnsi="Cambria" w:cs="Segoe UI"/>
          <w:sz w:val="24"/>
          <w:szCs w:val="24"/>
        </w:rPr>
        <w:t>ftalanów</w:t>
      </w:r>
      <w:proofErr w:type="spellEnd"/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 w:rsidRPr="000503B1">
        <w:rPr>
          <w:rFonts w:ascii="Cambria" w:eastAsia="Calibri" w:hAnsi="Cambria" w:cs="Segoe UI"/>
          <w:b/>
          <w:bCs/>
          <w:sz w:val="24"/>
          <w:szCs w:val="24"/>
        </w:rPr>
        <w:lastRenderedPageBreak/>
        <w:t>Pakiet 7 pozycja 4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Prosimy o dopuszczenie przyrządu zgodnego z opisem.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z uniwersalny ostry kolec pozwalający na łatwe wprowadzanie także do małych butelek i całkowite opróżnienie butelki</w:t>
      </w:r>
      <w:r w:rsidRPr="000503B1">
        <w:rPr>
          <w:rFonts w:ascii="Cambria" w:eastAsia="Calibri" w:hAnsi="Cambria" w:cs="Calibri"/>
          <w:sz w:val="24"/>
          <w:szCs w:val="24"/>
        </w:rPr>
        <w:t xml:space="preserve"> </w:t>
      </w:r>
      <w:r w:rsidRPr="000503B1">
        <w:rPr>
          <w:rFonts w:ascii="Cambria" w:eastAsia="Calibri" w:hAnsi="Cambria" w:cs="Segoe UI"/>
          <w:sz w:val="24"/>
          <w:szCs w:val="24"/>
        </w:rPr>
        <w:t>oraz szczelne połączenie z workiem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Igła biorcza dwukanałowa posiada odpowietrzniki z filtrem 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Wyposażony w skrzydełka ułatwiające wbicie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Komora kroplowa o długości 62 mm pozwala na lepsze ustalenie poziomu płynu (część przeźroczysta 55 mm)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Kroplomierz (20 kropli  = 1,0 ml ± 01 ml)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15 µm filtr płynu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Precyzyjny zacisk rolkowy z miejscem na dren oraz igłę po użyciu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Logo umożliwiające identyfikację wyrobu na zaciskaczu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Łącznik </w:t>
      </w:r>
      <w:proofErr w:type="spellStart"/>
      <w:r w:rsidRPr="000503B1">
        <w:rPr>
          <w:rFonts w:ascii="Cambria" w:eastAsia="Calibri" w:hAnsi="Cambria" w:cs="Segoe UI"/>
          <w:sz w:val="24"/>
          <w:szCs w:val="24"/>
        </w:rPr>
        <w:t>luer</w:t>
      </w:r>
      <w:proofErr w:type="spellEnd"/>
      <w:r w:rsidRPr="000503B1">
        <w:rPr>
          <w:rFonts w:ascii="Cambria" w:eastAsia="Calibri" w:hAnsi="Cambria" w:cs="Segoe UI"/>
          <w:sz w:val="24"/>
          <w:szCs w:val="24"/>
        </w:rPr>
        <w:t xml:space="preserve"> lock umożliwiający szczelne i trwałe połączenie z kaniulą dożylną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Dren długości 150 cm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Sterylny, </w:t>
      </w:r>
      <w:proofErr w:type="spellStart"/>
      <w:r w:rsidRPr="000503B1">
        <w:rPr>
          <w:rFonts w:ascii="Cambria" w:eastAsia="Calibri" w:hAnsi="Cambria" w:cs="Segoe UI"/>
          <w:sz w:val="24"/>
          <w:szCs w:val="24"/>
        </w:rPr>
        <w:t>apirogenny</w:t>
      </w:r>
      <w:proofErr w:type="spellEnd"/>
      <w:r w:rsidRPr="000503B1">
        <w:rPr>
          <w:rFonts w:ascii="Cambria" w:eastAsia="Calibri" w:hAnsi="Cambria" w:cs="Segoe UI"/>
          <w:sz w:val="24"/>
          <w:szCs w:val="24"/>
        </w:rPr>
        <w:t>, nietoksyczny, jednokrotnego użytku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>Opakowanie typu blister</w:t>
      </w:r>
    </w:p>
    <w:p w:rsidR="005D735C" w:rsidRPr="000503B1" w:rsidRDefault="005D735C" w:rsidP="000503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Cambria" w:eastAsia="Calibri" w:hAnsi="Cambria" w:cs="Segoe UI"/>
          <w:sz w:val="24"/>
          <w:szCs w:val="24"/>
        </w:rPr>
      </w:pPr>
      <w:r w:rsidRPr="000503B1">
        <w:rPr>
          <w:rFonts w:ascii="Cambria" w:eastAsia="Calibri" w:hAnsi="Cambria" w:cs="Segoe UI"/>
          <w:sz w:val="24"/>
          <w:szCs w:val="24"/>
        </w:rPr>
        <w:t xml:space="preserve">Wolny od </w:t>
      </w:r>
      <w:proofErr w:type="spellStart"/>
      <w:r w:rsidRPr="000503B1">
        <w:rPr>
          <w:rFonts w:ascii="Cambria" w:eastAsia="Calibri" w:hAnsi="Cambria" w:cs="Segoe UI"/>
          <w:sz w:val="24"/>
          <w:szCs w:val="24"/>
        </w:rPr>
        <w:t>ftalanów</w:t>
      </w:r>
      <w:proofErr w:type="spellEnd"/>
    </w:p>
    <w:p w:rsidR="000503B1" w:rsidRP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 w:rsidRPr="000503B1"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eastAsia="Times New Roman" w:hAnsi="Cambria" w:cs="Arial-BoldMT"/>
          <w:b/>
          <w:bCs/>
          <w:sz w:val="24"/>
          <w:szCs w:val="24"/>
          <w:lang w:eastAsia="pl-PL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  <w:r w:rsidRPr="000503B1">
        <w:rPr>
          <w:rFonts w:ascii="Cambria" w:hAnsi="Cambria" w:cs="Arial-BoldMT"/>
          <w:b/>
          <w:bCs/>
          <w:sz w:val="24"/>
          <w:szCs w:val="24"/>
        </w:rPr>
        <w:t>Pakiet 7 pozycja 5-6: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Arial-BoldMT"/>
          <w:sz w:val="24"/>
          <w:szCs w:val="24"/>
        </w:rPr>
      </w:pPr>
      <w:r w:rsidRPr="000503B1">
        <w:rPr>
          <w:rFonts w:ascii="Cambria" w:hAnsi="Cambria" w:cs="Arial-BoldMT"/>
          <w:sz w:val="24"/>
          <w:szCs w:val="24"/>
        </w:rPr>
        <w:t>Czy zamawiający dopuści wydzielenie pakietów 5 i 6 od pozostałych pakietów?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Arial-BoldMT"/>
          <w:sz w:val="24"/>
          <w:szCs w:val="24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37 pozycja 1-4</w:t>
      </w:r>
    </w:p>
    <w:p w:rsidR="005D735C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 w strzykawce 2 – częściowej tłok w kolorze niebieskim?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0503B1" w:rsidRPr="000503B1" w:rsidRDefault="000503B1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37 pozycja 1-4</w:t>
      </w:r>
    </w:p>
    <w:p w:rsidR="005D735C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 w strzykawce 2 – częściowej tłok w kolorze mlecznym?</w:t>
      </w:r>
    </w:p>
    <w:p w:rsidR="000503B1" w:rsidRDefault="000503B1" w:rsidP="000503B1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Odp. Zamawiający dopuszcza.</w:t>
      </w:r>
    </w:p>
    <w:p w:rsidR="000503B1" w:rsidRPr="000503B1" w:rsidRDefault="000503B1" w:rsidP="000503B1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37 pozycja 1-4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 w strzykawce 2- częściowej bez rozszerzonej skali?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37 pozycja 1-4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strzykawkę z pojedynczą skalą pomiarową ?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37 pozycja 1-4</w:t>
      </w:r>
    </w:p>
    <w:p w:rsidR="005D735C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strzykawkę z kolorystycznym oznaczeniem rozmiaru strzykawki na opakowaniu typu karton 100 szt., 80 szt.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0503B1" w:rsidRPr="000503B1" w:rsidRDefault="000503B1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bookmarkStart w:id="1" w:name="_Hlk161843730"/>
      <w:r w:rsidRPr="000503B1">
        <w:rPr>
          <w:rFonts w:ascii="Cambria" w:hAnsi="Cambria" w:cs="Tahoma"/>
          <w:b/>
          <w:bCs/>
          <w:sz w:val="24"/>
          <w:szCs w:val="24"/>
        </w:rPr>
        <w:t>Pakiet 37 pozycja 4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strzykawkę w opakowaniu 80 szt. z możliwością przeliczenia w formularzu asortymentowo- cenowym.</w:t>
      </w:r>
    </w:p>
    <w:bookmarkEnd w:id="1"/>
    <w:p w:rsidR="005D735C" w:rsidRPr="000503B1" w:rsidRDefault="000503B1" w:rsidP="000503B1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Odp. Zamawiający dopuszcza.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bookmarkStart w:id="2" w:name="_Hlk130836819"/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45 pozycja 5-6: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 xml:space="preserve">Czy zamawiający dopuści </w:t>
      </w:r>
      <w:bookmarkEnd w:id="2"/>
      <w:r w:rsidRPr="000503B1">
        <w:rPr>
          <w:rFonts w:ascii="Cambria" w:hAnsi="Cambria" w:cs="Tahoma"/>
          <w:sz w:val="24"/>
          <w:szCs w:val="24"/>
        </w:rPr>
        <w:t>wyłączenia pozycji 5,6 z całości pakietu?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45 pozycja 5-6: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strzykawkę doustna bez koreczka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45 pozycja 7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 xml:space="preserve">Czy zamawiający dopuści strzykawkę  w rozmiarze 20/22 ml  </w:t>
      </w:r>
      <w:proofErr w:type="spellStart"/>
      <w:r w:rsidRPr="000503B1">
        <w:rPr>
          <w:rFonts w:ascii="Cambria" w:hAnsi="Cambria" w:cs="Tahoma"/>
          <w:sz w:val="24"/>
          <w:szCs w:val="24"/>
        </w:rPr>
        <w:t>luer</w:t>
      </w:r>
      <w:proofErr w:type="spellEnd"/>
      <w:r w:rsidRPr="000503B1">
        <w:rPr>
          <w:rFonts w:ascii="Cambria" w:hAnsi="Cambria" w:cs="Tahoma"/>
          <w:sz w:val="24"/>
          <w:szCs w:val="24"/>
        </w:rPr>
        <w:t xml:space="preserve"> – lock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45 pozycja 12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kranik bez dodatkowego portu do iniekcji, pozostałe zapisy zgodnie z SWZ.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45 pozycja 12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kranik o objętości wypełnienia 0,9 ml</w:t>
      </w:r>
    </w:p>
    <w:p w:rsidR="000503B1" w:rsidRDefault="000503B1" w:rsidP="000503B1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>
        <w:rPr>
          <w:rFonts w:ascii="Cambria" w:eastAsia="Calibri" w:hAnsi="Cambria" w:cs="Segoe UI"/>
          <w:b/>
          <w:bCs/>
          <w:sz w:val="24"/>
          <w:szCs w:val="24"/>
        </w:rPr>
        <w:t>Odp. Zamawiający podtrzymuje zapisy SWZ.</w:t>
      </w:r>
    </w:p>
    <w:p w:rsidR="005D735C" w:rsidRPr="000503B1" w:rsidRDefault="005D735C" w:rsidP="000503B1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0503B1">
        <w:rPr>
          <w:rFonts w:ascii="Cambria" w:hAnsi="Cambria" w:cs="Tahoma"/>
          <w:b/>
          <w:bCs/>
          <w:sz w:val="24"/>
          <w:szCs w:val="24"/>
        </w:rPr>
        <w:t>Pakiet 45 pozycja 13-14</w:t>
      </w:r>
    </w:p>
    <w:p w:rsidR="00FA0102" w:rsidRDefault="005D735C" w:rsidP="00C4280C">
      <w:pPr>
        <w:spacing w:after="0" w:line="240" w:lineRule="auto"/>
        <w:jc w:val="both"/>
        <w:rPr>
          <w:rFonts w:ascii="Cambria" w:hAnsi="Cambria" w:cs="Tahoma"/>
          <w:bCs/>
          <w:sz w:val="24"/>
          <w:szCs w:val="24"/>
        </w:rPr>
      </w:pPr>
      <w:r w:rsidRPr="000503B1">
        <w:rPr>
          <w:rFonts w:ascii="Cambria" w:hAnsi="Cambria" w:cs="Tahoma"/>
          <w:sz w:val="24"/>
          <w:szCs w:val="24"/>
        </w:rPr>
        <w:t>Czy zamawiający dopuści kranik o objętości wypełnienia 1,25 ml</w:t>
      </w:r>
    </w:p>
    <w:p w:rsidR="00C4280C" w:rsidRDefault="00C4280C" w:rsidP="00C4280C">
      <w:pPr>
        <w:spacing w:after="0" w:line="240" w:lineRule="auto"/>
        <w:jc w:val="both"/>
        <w:rPr>
          <w:rFonts w:ascii="Cambria" w:eastAsia="Calibri" w:hAnsi="Cambria" w:cs="Segoe UI"/>
          <w:b/>
          <w:bCs/>
          <w:sz w:val="24"/>
          <w:szCs w:val="24"/>
        </w:rPr>
      </w:pPr>
      <w:r w:rsidRPr="00C4280C">
        <w:rPr>
          <w:rFonts w:ascii="Cambria" w:hAnsi="Cambria" w:cs="Tahoma"/>
          <w:b/>
          <w:bCs/>
          <w:sz w:val="24"/>
          <w:szCs w:val="24"/>
        </w:rPr>
        <w:t>Odp.:</w:t>
      </w:r>
      <w:r>
        <w:rPr>
          <w:rFonts w:ascii="Cambria" w:hAnsi="Cambria" w:cs="Tahoma"/>
          <w:bCs/>
          <w:sz w:val="24"/>
          <w:szCs w:val="24"/>
        </w:rPr>
        <w:t xml:space="preserve"> </w:t>
      </w:r>
      <w:r>
        <w:rPr>
          <w:rFonts w:ascii="Cambria" w:eastAsia="Calibri" w:hAnsi="Cambria" w:cs="Segoe UI"/>
          <w:b/>
          <w:bCs/>
          <w:sz w:val="24"/>
          <w:szCs w:val="24"/>
        </w:rPr>
        <w:t>Zamawiający podtrzymuje zapisy SWZ.</w:t>
      </w:r>
    </w:p>
    <w:p w:rsidR="00C4280C" w:rsidRPr="000503B1" w:rsidRDefault="00C4280C" w:rsidP="00C4280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bookmarkStart w:id="3" w:name="_GoBack"/>
      <w:bookmarkEnd w:id="3"/>
    </w:p>
    <w:sectPr w:rsidR="00C4280C" w:rsidRPr="000503B1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40DFB"/>
    <w:multiLevelType w:val="hybridMultilevel"/>
    <w:tmpl w:val="B3A8E6BE"/>
    <w:numStyleLink w:val="Numery"/>
  </w:abstractNum>
  <w:abstractNum w:abstractNumId="4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B6600"/>
    <w:multiLevelType w:val="hybridMultilevel"/>
    <w:tmpl w:val="B3A8E6BE"/>
    <w:styleLink w:val="Numery"/>
    <w:lvl w:ilvl="0" w:tplc="848EC86C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1CA610">
      <w:start w:val="1"/>
      <w:numFmt w:val="decimal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76C5D78">
      <w:start w:val="1"/>
      <w:numFmt w:val="decimal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10B7A2">
      <w:start w:val="1"/>
      <w:numFmt w:val="decimal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F162412">
      <w:start w:val="1"/>
      <w:numFmt w:val="decimal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3AA723C">
      <w:start w:val="1"/>
      <w:numFmt w:val="decimal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FC2BEC">
      <w:start w:val="1"/>
      <w:numFmt w:val="decimal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23609FC">
      <w:start w:val="1"/>
      <w:numFmt w:val="decimal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42E5852">
      <w:start w:val="1"/>
      <w:numFmt w:val="decimal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503B1"/>
    <w:rsid w:val="00063136"/>
    <w:rsid w:val="000A6544"/>
    <w:rsid w:val="000C5FCA"/>
    <w:rsid w:val="000F3831"/>
    <w:rsid w:val="001247F5"/>
    <w:rsid w:val="0013343A"/>
    <w:rsid w:val="00144C72"/>
    <w:rsid w:val="001502AD"/>
    <w:rsid w:val="00160F8C"/>
    <w:rsid w:val="001A50ED"/>
    <w:rsid w:val="001B588E"/>
    <w:rsid w:val="0022445F"/>
    <w:rsid w:val="002878E7"/>
    <w:rsid w:val="002F38CB"/>
    <w:rsid w:val="002F7415"/>
    <w:rsid w:val="00327B12"/>
    <w:rsid w:val="003968EC"/>
    <w:rsid w:val="003A4B81"/>
    <w:rsid w:val="003D417A"/>
    <w:rsid w:val="003F177D"/>
    <w:rsid w:val="00415EC1"/>
    <w:rsid w:val="00442040"/>
    <w:rsid w:val="00462A28"/>
    <w:rsid w:val="004779D9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5D735C"/>
    <w:rsid w:val="00627B83"/>
    <w:rsid w:val="006A50EB"/>
    <w:rsid w:val="00743310"/>
    <w:rsid w:val="007466EB"/>
    <w:rsid w:val="0075265A"/>
    <w:rsid w:val="00762A47"/>
    <w:rsid w:val="0076510F"/>
    <w:rsid w:val="00785B77"/>
    <w:rsid w:val="007A63CF"/>
    <w:rsid w:val="00826A24"/>
    <w:rsid w:val="00837C1E"/>
    <w:rsid w:val="00887236"/>
    <w:rsid w:val="00921BD7"/>
    <w:rsid w:val="00932986"/>
    <w:rsid w:val="009420D4"/>
    <w:rsid w:val="009670B5"/>
    <w:rsid w:val="009846E7"/>
    <w:rsid w:val="0099080A"/>
    <w:rsid w:val="009C3FAE"/>
    <w:rsid w:val="009E3F09"/>
    <w:rsid w:val="009F3076"/>
    <w:rsid w:val="00A03708"/>
    <w:rsid w:val="00A045F6"/>
    <w:rsid w:val="00A21A99"/>
    <w:rsid w:val="00A53A84"/>
    <w:rsid w:val="00A64FCC"/>
    <w:rsid w:val="00A713FB"/>
    <w:rsid w:val="00AD3065"/>
    <w:rsid w:val="00AF4405"/>
    <w:rsid w:val="00B805EB"/>
    <w:rsid w:val="00BA0E23"/>
    <w:rsid w:val="00BC16E0"/>
    <w:rsid w:val="00BC44A6"/>
    <w:rsid w:val="00BC4D3F"/>
    <w:rsid w:val="00BD3ABE"/>
    <w:rsid w:val="00C15942"/>
    <w:rsid w:val="00C260F1"/>
    <w:rsid w:val="00C4280C"/>
    <w:rsid w:val="00C42B97"/>
    <w:rsid w:val="00C5090B"/>
    <w:rsid w:val="00C8643C"/>
    <w:rsid w:val="00CD677F"/>
    <w:rsid w:val="00D305AE"/>
    <w:rsid w:val="00D45ABC"/>
    <w:rsid w:val="00D65523"/>
    <w:rsid w:val="00D66BC0"/>
    <w:rsid w:val="00D6789D"/>
    <w:rsid w:val="00D7638A"/>
    <w:rsid w:val="00D77E90"/>
    <w:rsid w:val="00D92659"/>
    <w:rsid w:val="00DB7EDF"/>
    <w:rsid w:val="00DD1858"/>
    <w:rsid w:val="00E07E85"/>
    <w:rsid w:val="00E52242"/>
    <w:rsid w:val="00E80136"/>
    <w:rsid w:val="00E827C4"/>
    <w:rsid w:val="00EA394E"/>
    <w:rsid w:val="00EC65FA"/>
    <w:rsid w:val="00EC7A0E"/>
    <w:rsid w:val="00F07452"/>
    <w:rsid w:val="00F30A12"/>
    <w:rsid w:val="00F4004A"/>
    <w:rsid w:val="00F54A08"/>
    <w:rsid w:val="00F8326A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  <w:style w:type="paragraph" w:customStyle="1" w:styleId="paragraph">
    <w:name w:val="paragraph"/>
    <w:basedOn w:val="Normalny"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4405"/>
  </w:style>
  <w:style w:type="character" w:customStyle="1" w:styleId="eop">
    <w:name w:val="eop"/>
    <w:basedOn w:val="Domylnaczcionkaakapitu"/>
    <w:rsid w:val="00AF4405"/>
  </w:style>
  <w:style w:type="character" w:customStyle="1" w:styleId="contextualspellingandgrammarerror">
    <w:name w:val="contextualspellingandgrammarerror"/>
    <w:basedOn w:val="Domylnaczcionkaakapitu"/>
    <w:rsid w:val="00AF4405"/>
  </w:style>
  <w:style w:type="table" w:styleId="Tabela-Siatka">
    <w:name w:val="Table Grid"/>
    <w:basedOn w:val="Standardowy"/>
    <w:uiPriority w:val="3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FA010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6</cp:revision>
  <cp:lastPrinted>2024-03-20T09:39:00Z</cp:lastPrinted>
  <dcterms:created xsi:type="dcterms:W3CDTF">2024-03-21T05:29:00Z</dcterms:created>
  <dcterms:modified xsi:type="dcterms:W3CDTF">2024-03-22T09:13:00Z</dcterms:modified>
</cp:coreProperties>
</file>