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5E" w:rsidRPr="00A56A08" w:rsidRDefault="00D1535E" w:rsidP="00D1535E">
      <w:pPr>
        <w:pStyle w:val="Nagwek2"/>
        <w:jc w:val="both"/>
        <w:rPr>
          <w:rFonts w:ascii="Calibri" w:hAnsi="Calibri" w:cs="Calibri"/>
          <w:sz w:val="22"/>
          <w:szCs w:val="22"/>
        </w:rPr>
      </w:pPr>
      <w:r w:rsidRPr="00A56A08">
        <w:rPr>
          <w:rFonts w:ascii="Calibri" w:hAnsi="Calibri" w:cs="Calibri"/>
          <w:sz w:val="22"/>
          <w:szCs w:val="22"/>
        </w:rPr>
        <w:t>Załącznik Nr 7 – Zestawienie parametrów granicznych</w:t>
      </w:r>
      <w:r w:rsidR="00AF2B80">
        <w:rPr>
          <w:rFonts w:ascii="Calibri" w:hAnsi="Calibri" w:cs="Calibri"/>
          <w:sz w:val="22"/>
          <w:szCs w:val="22"/>
        </w:rPr>
        <w:t xml:space="preserve"> </w:t>
      </w:r>
    </w:p>
    <w:p w:rsidR="007F6098" w:rsidRDefault="007F6098" w:rsidP="00D1535E">
      <w:pPr>
        <w:jc w:val="both"/>
        <w:rPr>
          <w:b/>
          <w:color w:val="000000"/>
          <w:sz w:val="22"/>
          <w:szCs w:val="22"/>
        </w:rPr>
      </w:pPr>
    </w:p>
    <w:p w:rsidR="00D1535E" w:rsidRPr="00DB41F1" w:rsidRDefault="00916FC8" w:rsidP="00AF2B80">
      <w:pPr>
        <w:jc w:val="both"/>
        <w:rPr>
          <w:rFonts w:ascii="Calibri, sans-serif" w:hAnsi="Calibri, sans-serif"/>
          <w:b/>
          <w:bCs/>
          <w:sz w:val="22"/>
        </w:rPr>
      </w:pPr>
      <w:r>
        <w:rPr>
          <w:b/>
          <w:color w:val="000000"/>
          <w:sz w:val="22"/>
          <w:szCs w:val="22"/>
        </w:rPr>
        <w:t>Dostawa</w:t>
      </w:r>
      <w:r w:rsidR="00EC034A">
        <w:rPr>
          <w:b/>
          <w:bCs/>
          <w:sz w:val="22"/>
          <w:szCs w:val="22"/>
        </w:rPr>
        <w:t xml:space="preserve"> systemu próżniowego do pobierania krwi</w:t>
      </w:r>
      <w:r w:rsidR="00EC034A">
        <w:rPr>
          <w:rFonts w:ascii="Calibri, sans-serif" w:hAnsi="Calibri, sans-serif"/>
          <w:b/>
          <w:bCs/>
          <w:sz w:val="22"/>
        </w:rPr>
        <w:t xml:space="preserve"> na okres 24</w:t>
      </w:r>
      <w:r>
        <w:rPr>
          <w:rFonts w:ascii="Calibri, sans-serif" w:hAnsi="Calibri, sans-serif"/>
          <w:b/>
          <w:bCs/>
          <w:sz w:val="22"/>
        </w:rPr>
        <w:t xml:space="preserve"> miesięcy</w:t>
      </w:r>
      <w:r w:rsidR="00F0711D">
        <w:rPr>
          <w:rFonts w:ascii="Calibri, sans-serif" w:hAnsi="Calibri, sans-serif"/>
          <w:b/>
          <w:bCs/>
          <w:sz w:val="22"/>
        </w:rPr>
        <w:t xml:space="preserve"> wraz z dzierżawą czytnika do OB</w:t>
      </w:r>
    </w:p>
    <w:tbl>
      <w:tblPr>
        <w:tblW w:w="14787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727"/>
        <w:gridCol w:w="2913"/>
        <w:gridCol w:w="4722"/>
      </w:tblGrid>
      <w:tr w:rsidR="007F6098" w:rsidRPr="007F6098" w:rsidTr="007F6098">
        <w:tc>
          <w:tcPr>
            <w:tcW w:w="425" w:type="dxa"/>
          </w:tcPr>
          <w:p w:rsidR="007F6098" w:rsidRPr="007F6098" w:rsidRDefault="007F6098" w:rsidP="007F6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0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6727" w:type="dxa"/>
          </w:tcPr>
          <w:p w:rsidR="007F6098" w:rsidRPr="007F6098" w:rsidRDefault="007F6098" w:rsidP="007F6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098">
              <w:rPr>
                <w:rFonts w:asciiTheme="minorHAnsi" w:hAnsiTheme="minorHAnsi" w:cstheme="minorHAnsi"/>
                <w:b/>
                <w:sz w:val="22"/>
                <w:szCs w:val="22"/>
              </w:rPr>
              <w:t>Parametry graniczne</w:t>
            </w:r>
          </w:p>
        </w:tc>
        <w:tc>
          <w:tcPr>
            <w:tcW w:w="2913" w:type="dxa"/>
          </w:tcPr>
          <w:p w:rsidR="007F6098" w:rsidRPr="007F6098" w:rsidRDefault="00DB41F1" w:rsidP="00DB41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Potwierdzenie, że oferowany przedmiot zamówienia </w:t>
            </w:r>
            <w:r w:rsidR="007F6098" w:rsidRPr="007F6098">
              <w:rPr>
                <w:rFonts w:asciiTheme="minorHAnsi" w:hAnsiTheme="minorHAnsi" w:cstheme="minorHAnsi"/>
                <w:b/>
                <w:sz w:val="22"/>
                <w:szCs w:val="22"/>
              </w:rPr>
              <w:t>spełnia parametry graniczne TAK/NIE*</w:t>
            </w:r>
          </w:p>
        </w:tc>
        <w:tc>
          <w:tcPr>
            <w:tcW w:w="4722" w:type="dxa"/>
          </w:tcPr>
          <w:p w:rsidR="007F6098" w:rsidRPr="007F6098" w:rsidRDefault="007F6098" w:rsidP="00DB41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098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</w:t>
            </w:r>
          </w:p>
        </w:tc>
      </w:tr>
      <w:tr w:rsidR="00EC034A" w:rsidRPr="007F6098" w:rsidTr="007F6098">
        <w:tc>
          <w:tcPr>
            <w:tcW w:w="425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0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27" w:type="dxa"/>
          </w:tcPr>
          <w:p w:rsidR="00EC034A" w:rsidRPr="00AF2B80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(1) wszystkie korki probówek (poz. 1-8) odkręcane, z gwintem umożliwiający łatwe i bezpiecznie usunięcie korka, z wyłączeniem poz. 3</w:t>
            </w:r>
          </w:p>
        </w:tc>
        <w:tc>
          <w:tcPr>
            <w:tcW w:w="2913" w:type="dxa"/>
          </w:tcPr>
          <w:p w:rsidR="00EC034A" w:rsidRPr="007F6098" w:rsidRDefault="00EC034A" w:rsidP="00EC034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EC034A" w:rsidRPr="007F6098" w:rsidRDefault="00EC034A" w:rsidP="00984A0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34A" w:rsidRPr="007F6098" w:rsidTr="007F6098">
        <w:tc>
          <w:tcPr>
            <w:tcW w:w="425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09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727" w:type="dxa"/>
          </w:tcPr>
          <w:p w:rsidR="00EC034A" w:rsidRPr="00AF2B80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(2) probówki do OB kompatybilne z oferowanym aparatem do OB i statywem manualnym służącym jako </w:t>
            </w:r>
            <w:proofErr w:type="spellStart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buck</w:t>
            </w:r>
            <w:proofErr w:type="spellEnd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-up.(</w:t>
            </w:r>
            <w:proofErr w:type="gramStart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zasada</w:t>
            </w:r>
            <w:proofErr w:type="gramEnd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jednej probówki do obu metod tj. manualnej logarytmicznej i automatycznej)</w:t>
            </w:r>
          </w:p>
        </w:tc>
        <w:tc>
          <w:tcPr>
            <w:tcW w:w="2913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34A" w:rsidRPr="007F6098" w:rsidTr="007F6098">
        <w:tc>
          <w:tcPr>
            <w:tcW w:w="425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09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727" w:type="dxa"/>
          </w:tcPr>
          <w:p w:rsidR="00EC034A" w:rsidRPr="00AF2B80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(3) probówka powinna posiadać wolną przestrzeń co najmniej 2 cm</w:t>
            </w:r>
            <w:r w:rsidRPr="00AF2B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</w:t>
            </w: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pozwalającą na prawidłowe wymieszanie próbki krwi z odczynnikiem</w:t>
            </w:r>
          </w:p>
        </w:tc>
        <w:tc>
          <w:tcPr>
            <w:tcW w:w="2913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34A" w:rsidRPr="007F6098" w:rsidTr="007F6098">
        <w:tc>
          <w:tcPr>
            <w:tcW w:w="425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09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727" w:type="dxa"/>
          </w:tcPr>
          <w:p w:rsidR="00EC034A" w:rsidRPr="00AF2B80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Wsz</w:t>
            </w:r>
            <w:r w:rsidR="00F0711D">
              <w:rPr>
                <w:rFonts w:asciiTheme="minorHAnsi" w:hAnsiTheme="minorHAnsi" w:cstheme="minorHAnsi"/>
                <w:sz w:val="22"/>
                <w:szCs w:val="22"/>
              </w:rPr>
              <w:t>ystkie probówki muszą być plasti</w:t>
            </w: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kowe i posiadać znacznik pobrania</w:t>
            </w:r>
          </w:p>
        </w:tc>
        <w:tc>
          <w:tcPr>
            <w:tcW w:w="2913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34A" w:rsidRPr="007F6098" w:rsidTr="007F6098">
        <w:tc>
          <w:tcPr>
            <w:tcW w:w="425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09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727" w:type="dxa"/>
          </w:tcPr>
          <w:p w:rsidR="00EC034A" w:rsidRPr="00AF2B80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Wszystkie elementy systemu w celu zapewnienie pełnej komp</w:t>
            </w:r>
            <w:r w:rsidR="00AF2B80">
              <w:rPr>
                <w:rFonts w:asciiTheme="minorHAnsi" w:hAnsiTheme="minorHAnsi" w:cstheme="minorHAnsi"/>
                <w:sz w:val="22"/>
                <w:szCs w:val="22"/>
              </w:rPr>
              <w:t>atybilności winny pochodzić od jednego</w:t>
            </w: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producenta, potwierdzone dokumentem od producenta systemu (Zgodnie z zaleceniami Normy CLSI H1-A5 pkt. 5.1., która stwierdza, iż w przypadku używania elementów systemu pochodzących od różnych producentów obowiązek potwierdzenia ich kompatybilności spoczywa na użytkowniku tj. „</w:t>
            </w:r>
            <w:proofErr w:type="spellStart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user</w:t>
            </w:r>
            <w:proofErr w:type="spellEnd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proofErr w:type="spellEnd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validate</w:t>
            </w:r>
            <w:proofErr w:type="spellEnd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” ). Zamawiający wymaga aby wszystkie elementy systemu do próżniowego pobierania krwi pochodziły od jednego producenta. (</w:t>
            </w:r>
            <w:proofErr w:type="gramStart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igły</w:t>
            </w:r>
            <w:proofErr w:type="gramEnd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, uchwyty oraz probówki).</w:t>
            </w:r>
          </w:p>
        </w:tc>
        <w:tc>
          <w:tcPr>
            <w:tcW w:w="2913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EC034A" w:rsidRPr="007F6098" w:rsidRDefault="00EC034A" w:rsidP="00EC0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A74C26">
        <w:tc>
          <w:tcPr>
            <w:tcW w:w="14787" w:type="dxa"/>
            <w:gridSpan w:val="4"/>
          </w:tcPr>
          <w:p w:rsidR="00984A03" w:rsidRPr="00AF2B80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b/>
                <w:sz w:val="22"/>
                <w:szCs w:val="22"/>
              </w:rPr>
              <w:t>Czytnik do OB:</w:t>
            </w: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727" w:type="dxa"/>
          </w:tcPr>
          <w:p w:rsidR="00984A03" w:rsidRPr="00AF2B80" w:rsidRDefault="00F0711D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Czytnik do OB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rok produkcji nie starszy niż 2016 rok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F0711D" w:rsidP="00AF2B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nazwę czytnika</w:t>
            </w:r>
            <w:r w:rsidR="00984A03" w:rsidRPr="007F6098">
              <w:rPr>
                <w:rFonts w:asciiTheme="minorHAnsi" w:hAnsiTheme="minorHAnsi" w:cstheme="minorHAnsi"/>
                <w:sz w:val="22"/>
                <w:szCs w:val="22"/>
              </w:rPr>
              <w:t>, producenta i rok produkcji ..................................</w:t>
            </w: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727" w:type="dxa"/>
          </w:tcPr>
          <w:p w:rsidR="00984A03" w:rsidRPr="00AF2B80" w:rsidRDefault="00AF2B80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>ożliwość dostawiania probówek w trakcie serii pomiarowej bez konieczności zamykania cyklu pracy aparatu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727" w:type="dxa"/>
          </w:tcPr>
          <w:p w:rsidR="00984A03" w:rsidRPr="00AF2B80" w:rsidRDefault="00AF2B80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>ożliwość protokołu 15 i 30 min; wydajność co najmniej 40 oznaczeń / godz.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727" w:type="dxa"/>
          </w:tcPr>
          <w:p w:rsidR="00984A03" w:rsidRPr="00AF2B80" w:rsidRDefault="00AF2B80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yposażony w zintegrowany lub zewnętrzny czytnik kodów kreskowych czytający standard kodu </w:t>
            </w:r>
            <w:proofErr w:type="spellStart"/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  <w:proofErr w:type="spellEnd"/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28C"/>
              </w:smartTagPr>
              <w:r w:rsidR="00984A03" w:rsidRPr="00AF2B80">
                <w:rPr>
                  <w:rFonts w:asciiTheme="minorHAnsi" w:hAnsiTheme="minorHAnsi" w:cstheme="minorHAnsi"/>
                  <w:sz w:val="22"/>
                  <w:szCs w:val="22"/>
                </w:rPr>
                <w:t>128C</w:t>
              </w:r>
            </w:smartTag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z etykiet z nadrukowanym kodem kreskowym                          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6727" w:type="dxa"/>
          </w:tcPr>
          <w:p w:rsidR="00984A03" w:rsidRPr="00AF2B80" w:rsidRDefault="00AF2B80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zytnik koryguje automatycznie wynik względem temperatury </w:t>
            </w:r>
            <w:smartTag w:uri="urn:schemas-microsoft-com:office:smarttags" w:element="metricconverter">
              <w:smartTagPr>
                <w:attr w:name="ProductID" w:val="180C"/>
              </w:smartTagPr>
              <w:r w:rsidR="00984A03" w:rsidRPr="00AF2B80">
                <w:rPr>
                  <w:rFonts w:asciiTheme="minorHAnsi" w:hAnsiTheme="minorHAnsi" w:cstheme="minorHAnsi"/>
                  <w:sz w:val="22"/>
                  <w:szCs w:val="22"/>
                </w:rPr>
                <w:t>18</w:t>
              </w:r>
              <w:r w:rsidR="00984A03" w:rsidRPr="00AF2B80">
                <w:rPr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0</w:t>
              </w:r>
              <w:r w:rsidR="00984A03" w:rsidRPr="00AF2B80">
                <w:rPr>
                  <w:rFonts w:asciiTheme="minorHAnsi" w:hAnsiTheme="minorHAnsi" w:cstheme="minorHAnsi"/>
                  <w:sz w:val="22"/>
                  <w:szCs w:val="22"/>
                </w:rPr>
                <w:t>C</w:t>
              </w:r>
            </w:smartTag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727" w:type="dxa"/>
          </w:tcPr>
          <w:p w:rsidR="00984A03" w:rsidRPr="00AF2B80" w:rsidRDefault="00AF2B80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>ozwala wykonywać kontrolę jakości za pomocą probówek kontrolnych dostarczonych wraz z czytnikiem.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727" w:type="dxa"/>
          </w:tcPr>
          <w:p w:rsidR="00984A03" w:rsidRPr="00AF2B80" w:rsidRDefault="00AF2B80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>wukierunkowa komunikacja z laboratoryjnym systemem informatycznym firmy MARCEL posiadanym przez Zamawia</w:t>
            </w:r>
            <w:r w:rsidR="009102AE">
              <w:rPr>
                <w:rFonts w:asciiTheme="minorHAnsi" w:hAnsiTheme="minorHAnsi" w:cstheme="minorHAnsi"/>
                <w:sz w:val="22"/>
                <w:szCs w:val="22"/>
              </w:rPr>
              <w:t>jącego - podłączenie czytnika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do systemu na koszt Wykonawcy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727" w:type="dxa"/>
          </w:tcPr>
          <w:p w:rsidR="00984A03" w:rsidRPr="00AF2B80" w:rsidRDefault="00AF2B80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102AE">
              <w:rPr>
                <w:rFonts w:asciiTheme="minorHAnsi" w:hAnsiTheme="minorHAnsi" w:cstheme="minorHAnsi"/>
                <w:sz w:val="22"/>
                <w:szCs w:val="22"/>
              </w:rPr>
              <w:t>ostarczenie wraz z czytnikiem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pełnej instrukcji obsługi i konserwacji czytnika oraz wykonywania kontroli jakości w języku polskim (forma pisemna i elektroniczna)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727" w:type="dxa"/>
          </w:tcPr>
          <w:p w:rsidR="00984A03" w:rsidRPr="00AF2B80" w:rsidRDefault="00AF2B80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>ezpłatna</w:t>
            </w:r>
            <w:r w:rsidR="00984A03" w:rsidRPr="00AF2B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gwarancja techniczna przez cały okres trwania umowy- uwzględniająca koszty napraw, wymiany podzespołów oraz okresowych </w:t>
            </w:r>
            <w:r w:rsidR="00DB41F1" w:rsidRPr="00AF2B80">
              <w:rPr>
                <w:rFonts w:asciiTheme="minorHAnsi" w:hAnsiTheme="minorHAnsi" w:cstheme="minorHAnsi"/>
                <w:sz w:val="22"/>
                <w:szCs w:val="22"/>
              </w:rPr>
              <w:t>przeglądów serwisowych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( co najmniej 1 x na rok )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727" w:type="dxa"/>
          </w:tcPr>
          <w:p w:rsidR="00984A03" w:rsidRPr="00AF2B80" w:rsidRDefault="00AF2B80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zkolenie personelu potwierdzone </w:t>
            </w: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zaświadczeniem po</w:t>
            </w:r>
            <w:r w:rsidR="00984A03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dostawie czytnika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727" w:type="dxa"/>
          </w:tcPr>
          <w:p w:rsidR="00984A03" w:rsidRPr="00AF2B80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proofErr w:type="gramStart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poz. 1-11,</w:t>
            </w:r>
            <w:r w:rsidR="00DB41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13,</w:t>
            </w:r>
            <w:r w:rsidR="00DB41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21E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;  każda</w:t>
            </w:r>
            <w:proofErr w:type="gramEnd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sztuka</w:t>
            </w:r>
            <w:bookmarkStart w:id="0" w:name="_GoBack"/>
            <w:bookmarkEnd w:id="0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asortymentu posiada oznaczenie sterylności typ R na etykiecie  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727" w:type="dxa"/>
          </w:tcPr>
          <w:p w:rsidR="00984A03" w:rsidRPr="00AF2B80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Sprawdzian </w:t>
            </w:r>
            <w:proofErr w:type="spellStart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>LabQuality</w:t>
            </w:r>
            <w:proofErr w:type="spellEnd"/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dla probówek OB 2 razy w ciągu trwania umowy na koszt Wykonawcy 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727" w:type="dxa"/>
          </w:tcPr>
          <w:p w:rsidR="00984A03" w:rsidRPr="00DB41F1" w:rsidRDefault="00984A03" w:rsidP="00984A0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zamówienia ( probówki ) powinien być kompatybilny z aparatami posiadanymi przez Zamawiającego: </w:t>
            </w:r>
            <w:proofErr w:type="spellStart"/>
            <w:r w:rsidRPr="00AF2B80">
              <w:rPr>
                <w:rFonts w:asciiTheme="minorHAnsi" w:hAnsiTheme="minorHAnsi" w:cstheme="minorHAnsi"/>
                <w:b/>
                <w:sz w:val="22"/>
                <w:szCs w:val="22"/>
              </w:rPr>
              <w:t>Sysmex</w:t>
            </w:r>
            <w:proofErr w:type="spellEnd"/>
            <w:r w:rsidRPr="00AF2B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XNL 550, </w:t>
            </w:r>
            <w:proofErr w:type="spellStart"/>
            <w:r w:rsidRPr="00AF2B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Cobas</w:t>
            </w:r>
            <w:proofErr w:type="spellEnd"/>
            <w:r w:rsidRPr="00AF2B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2B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Integra</w:t>
            </w:r>
            <w:proofErr w:type="spellEnd"/>
            <w:r w:rsidRPr="00AF2B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400 </w:t>
            </w:r>
            <w:proofErr w:type="gramStart"/>
            <w:r w:rsidRPr="00AF2B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Plus,  </w:t>
            </w:r>
            <w:proofErr w:type="spellStart"/>
            <w:r w:rsidRPr="00AF2B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Cobas</w:t>
            </w:r>
            <w:proofErr w:type="spellEnd"/>
            <w:proofErr w:type="gramEnd"/>
            <w:r w:rsidRPr="00AF2B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e411, </w:t>
            </w:r>
            <w:proofErr w:type="spellStart"/>
            <w:r w:rsidRPr="00AF2B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Coag</w:t>
            </w:r>
            <w:proofErr w:type="spellEnd"/>
            <w:r w:rsidRPr="00AF2B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Chrom 3003  oraz wirówkami MPW 352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A03" w:rsidRPr="007F6098" w:rsidTr="007F6098">
        <w:tc>
          <w:tcPr>
            <w:tcW w:w="425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727" w:type="dxa"/>
          </w:tcPr>
          <w:p w:rsidR="00984A03" w:rsidRPr="00AF2B80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Szkolenie </w:t>
            </w:r>
            <w:r w:rsidR="00DB41F1" w:rsidRPr="00AF2B80">
              <w:rPr>
                <w:rFonts w:asciiTheme="minorHAnsi" w:hAnsiTheme="minorHAnsi" w:cstheme="minorHAnsi"/>
                <w:sz w:val="22"/>
                <w:szCs w:val="22"/>
              </w:rPr>
              <w:t>personelu laboratorium</w:t>
            </w: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oraz pielęgniarek w </w:t>
            </w:r>
            <w:r w:rsidR="00DB41F1" w:rsidRPr="00AF2B80">
              <w:rPr>
                <w:rFonts w:asciiTheme="minorHAnsi" w:hAnsiTheme="minorHAnsi" w:cstheme="minorHAnsi"/>
                <w:sz w:val="22"/>
                <w:szCs w:val="22"/>
              </w:rPr>
              <w:t>zakresie techniki</w:t>
            </w:r>
            <w:r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pobierania za pomocą systemu próżniowego potwierdzone zaświadczeniem</w:t>
            </w:r>
          </w:p>
        </w:tc>
        <w:tc>
          <w:tcPr>
            <w:tcW w:w="2913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</w:tcPr>
          <w:p w:rsidR="00984A03" w:rsidRPr="007F6098" w:rsidRDefault="00984A03" w:rsidP="00984A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98" w:rsidRPr="007F6098" w:rsidTr="007F609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098" w:rsidRPr="007F6098" w:rsidRDefault="00AF2B80" w:rsidP="007F6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098" w:rsidRPr="00AF2B80" w:rsidRDefault="00F0711D" w:rsidP="007F6098">
            <w:pPr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Trzykrotna awaria czytnika</w:t>
            </w:r>
            <w:r w:rsidR="007F6098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w przeciągu 6 miesięcy </w:t>
            </w:r>
            <w:r w:rsidR="00F13FFC" w:rsidRPr="00AF2B80">
              <w:rPr>
                <w:rFonts w:asciiTheme="minorHAnsi" w:hAnsiTheme="minorHAnsi" w:cstheme="minorHAnsi"/>
                <w:sz w:val="22"/>
                <w:szCs w:val="22"/>
              </w:rPr>
              <w:t>użytkowania powoduje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wymianę czytnika</w:t>
            </w:r>
            <w:r w:rsidR="007F6098" w:rsidRPr="00AF2B80">
              <w:rPr>
                <w:rFonts w:asciiTheme="minorHAnsi" w:hAnsiTheme="minorHAnsi" w:cstheme="minorHAnsi"/>
                <w:sz w:val="22"/>
                <w:szCs w:val="22"/>
              </w:rPr>
              <w:t xml:space="preserve"> na nowy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098" w:rsidRPr="007F6098" w:rsidRDefault="007F6098" w:rsidP="007F60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098" w:rsidRPr="007F6098" w:rsidRDefault="007F6098" w:rsidP="007F60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1535E" w:rsidRPr="007F6098" w:rsidRDefault="00D1535E" w:rsidP="00916FC8">
      <w:pPr>
        <w:rPr>
          <w:rFonts w:asciiTheme="minorHAnsi" w:hAnsiTheme="minorHAnsi" w:cstheme="minorHAnsi"/>
          <w:sz w:val="22"/>
          <w:szCs w:val="22"/>
        </w:rPr>
      </w:pPr>
    </w:p>
    <w:p w:rsidR="00AF2B80" w:rsidRPr="00DB41F1" w:rsidRDefault="00D1535E" w:rsidP="00AF2B80">
      <w:pPr>
        <w:rPr>
          <w:rFonts w:asciiTheme="minorHAnsi" w:hAnsiTheme="minorHAnsi" w:cstheme="minorHAnsi"/>
          <w:sz w:val="22"/>
          <w:szCs w:val="22"/>
        </w:rPr>
      </w:pPr>
      <w:r w:rsidRPr="007F6098">
        <w:rPr>
          <w:rFonts w:asciiTheme="minorHAnsi" w:hAnsiTheme="minorHAnsi" w:cstheme="minorHAnsi"/>
          <w:sz w:val="22"/>
          <w:szCs w:val="22"/>
        </w:rPr>
        <w:t xml:space="preserve">* </w:t>
      </w:r>
      <w:r w:rsidR="00AF2B80" w:rsidRPr="00DB41F1">
        <w:rPr>
          <w:rFonts w:asciiTheme="minorHAnsi" w:hAnsiTheme="minorHAnsi" w:cstheme="minorHAnsi"/>
          <w:sz w:val="22"/>
          <w:szCs w:val="22"/>
        </w:rPr>
        <w:t>Wypełnia Wykonawca</w:t>
      </w:r>
    </w:p>
    <w:p w:rsidR="00AF2B80" w:rsidRPr="00DB41F1" w:rsidRDefault="00AF2B80" w:rsidP="00AF2B80">
      <w:pPr>
        <w:rPr>
          <w:rFonts w:asciiTheme="minorHAnsi" w:hAnsiTheme="minorHAnsi" w:cstheme="minorHAnsi"/>
          <w:sz w:val="22"/>
          <w:szCs w:val="22"/>
        </w:rPr>
      </w:pPr>
    </w:p>
    <w:p w:rsidR="00D1535E" w:rsidRPr="00DB41F1" w:rsidRDefault="00D1535E" w:rsidP="00D1535E">
      <w:pPr>
        <w:jc w:val="both"/>
        <w:rPr>
          <w:rFonts w:asciiTheme="minorHAnsi" w:hAnsiTheme="minorHAnsi" w:cstheme="minorHAnsi"/>
          <w:sz w:val="22"/>
          <w:szCs w:val="22"/>
        </w:rPr>
      </w:pPr>
      <w:r w:rsidRPr="00DB41F1">
        <w:rPr>
          <w:rFonts w:asciiTheme="minorHAnsi" w:hAnsiTheme="minorHAnsi" w:cstheme="minorHAnsi"/>
          <w:sz w:val="22"/>
          <w:szCs w:val="22"/>
        </w:rPr>
        <w:t xml:space="preserve">Niespełnienie któregokolwiek z parametrów granicznych </w:t>
      </w:r>
      <w:r w:rsidR="00DB41F1">
        <w:rPr>
          <w:rFonts w:asciiTheme="minorHAnsi" w:hAnsiTheme="minorHAnsi" w:cstheme="minorHAnsi"/>
          <w:sz w:val="22"/>
          <w:szCs w:val="22"/>
        </w:rPr>
        <w:t>s</w:t>
      </w:r>
      <w:r w:rsidRPr="00DB41F1">
        <w:rPr>
          <w:rFonts w:asciiTheme="minorHAnsi" w:hAnsiTheme="minorHAnsi" w:cstheme="minorHAnsi"/>
          <w:sz w:val="22"/>
          <w:szCs w:val="22"/>
        </w:rPr>
        <w:t>powoduje odrzucenie oferty.</w:t>
      </w:r>
    </w:p>
    <w:p w:rsidR="007F6098" w:rsidRDefault="007F6098" w:rsidP="00D1535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3659" w:rsidRDefault="00423659"/>
    <w:p w:rsidR="00423659" w:rsidRDefault="00DB41F1" w:rsidP="00F13FF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23659" w:rsidRPr="00423659">
        <w:rPr>
          <w:rFonts w:ascii="Calibri" w:hAnsi="Calibri" w:cs="Calibri"/>
          <w:sz w:val="24"/>
          <w:szCs w:val="24"/>
        </w:rPr>
        <w:t>Podpis Wykonawcy</w:t>
      </w:r>
    </w:p>
    <w:p w:rsidR="00423659" w:rsidRPr="00423659" w:rsidRDefault="00DB41F1" w:rsidP="00DB41F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23659">
        <w:rPr>
          <w:rFonts w:ascii="Calibri" w:hAnsi="Calibri" w:cs="Calibri"/>
          <w:sz w:val="24"/>
          <w:szCs w:val="24"/>
        </w:rPr>
        <w:t>………</w:t>
      </w:r>
      <w:r w:rsidR="00423659" w:rsidRPr="00423659">
        <w:rPr>
          <w:rFonts w:ascii="Calibri" w:hAnsi="Calibri" w:cs="Calibri"/>
          <w:sz w:val="24"/>
          <w:szCs w:val="24"/>
        </w:rPr>
        <w:t>……………………..</w:t>
      </w:r>
    </w:p>
    <w:sectPr w:rsidR="00423659" w:rsidRPr="00423659" w:rsidSect="00DB41F1">
      <w:pgSz w:w="16838" w:h="11906" w:orient="landscape"/>
      <w:pgMar w:top="993" w:right="53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B61"/>
    <w:multiLevelType w:val="hybridMultilevel"/>
    <w:tmpl w:val="7EC6EE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721"/>
    <w:multiLevelType w:val="hybridMultilevel"/>
    <w:tmpl w:val="5B94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36AC0"/>
    <w:multiLevelType w:val="hybridMultilevel"/>
    <w:tmpl w:val="591CE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D7B3F"/>
    <w:multiLevelType w:val="hybridMultilevel"/>
    <w:tmpl w:val="7158BCCE"/>
    <w:lvl w:ilvl="0" w:tplc="98F801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5E"/>
    <w:rsid w:val="0022724C"/>
    <w:rsid w:val="004207ED"/>
    <w:rsid w:val="00423659"/>
    <w:rsid w:val="0061149B"/>
    <w:rsid w:val="006C1E5F"/>
    <w:rsid w:val="0072391D"/>
    <w:rsid w:val="007E7F72"/>
    <w:rsid w:val="007F6098"/>
    <w:rsid w:val="009102AE"/>
    <w:rsid w:val="00916FC8"/>
    <w:rsid w:val="00932984"/>
    <w:rsid w:val="00984A03"/>
    <w:rsid w:val="00AF2B80"/>
    <w:rsid w:val="00C702BC"/>
    <w:rsid w:val="00D1535E"/>
    <w:rsid w:val="00D521EC"/>
    <w:rsid w:val="00DB41F1"/>
    <w:rsid w:val="00EC034A"/>
    <w:rsid w:val="00F0711D"/>
    <w:rsid w:val="00F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9DFBEC"/>
  <w15:chartTrackingRefBased/>
  <w15:docId w15:val="{7A129CE8-FB3F-4FFC-AA96-7F2D0011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535E"/>
    <w:pPr>
      <w:keepNext/>
      <w:widowControl w:val="0"/>
      <w:autoSpaceDE w:val="0"/>
      <w:autoSpaceDN w:val="0"/>
      <w:adjustRightInd w:val="0"/>
      <w:spacing w:before="40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D1535E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535E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53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15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5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6F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1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1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2022-06-19T13:31:00Z</cp:lastPrinted>
  <dcterms:created xsi:type="dcterms:W3CDTF">2022-06-19T10:22:00Z</dcterms:created>
  <dcterms:modified xsi:type="dcterms:W3CDTF">2022-06-19T13:46:00Z</dcterms:modified>
</cp:coreProperties>
</file>